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53B58" w14:textId="4EB68AC5" w:rsidR="00904E56" w:rsidRPr="009A295C" w:rsidRDefault="00A25DA9" w:rsidP="00D457D9">
      <w:pPr>
        <w:tabs>
          <w:tab w:val="center" w:pos="4536"/>
          <w:tab w:val="right" w:pos="9072"/>
        </w:tabs>
        <w:spacing w:after="0" w:line="22" w:lineRule="atLeast"/>
        <w:jc w:val="right"/>
        <w:rPr>
          <w:rFonts w:ascii="Verdana" w:eastAsia="Calibri" w:hAnsi="Verdana" w:cs="Arial"/>
          <w:sz w:val="18"/>
          <w:szCs w:val="18"/>
          <w:lang w:val="en-GB" w:eastAsia="pl-PL"/>
        </w:rPr>
      </w:pPr>
      <w:bookmarkStart w:id="0" w:name="_Hlk66112395"/>
      <w:bookmarkStart w:id="1" w:name="_Hlk195601439"/>
      <w:r w:rsidRPr="009A295C">
        <w:rPr>
          <w:rFonts w:ascii="Verdana" w:hAnsi="Verdana" w:cs="Arial"/>
          <w:sz w:val="18"/>
          <w:szCs w:val="18"/>
          <w:lang w:val="en-GB"/>
        </w:rPr>
        <w:t>Warsaw</w:t>
      </w:r>
      <w:r w:rsidR="00904E56" w:rsidRPr="009A295C">
        <w:rPr>
          <w:rFonts w:ascii="Verdana" w:hAnsi="Verdana" w:cs="Arial"/>
          <w:sz w:val="18"/>
          <w:szCs w:val="18"/>
          <w:lang w:val="en-GB"/>
        </w:rPr>
        <w:t xml:space="preserve">, </w:t>
      </w:r>
      <w:r w:rsidR="00800511" w:rsidRPr="009A295C">
        <w:rPr>
          <w:rFonts w:ascii="Verdana" w:hAnsi="Verdana" w:cs="Arial"/>
          <w:sz w:val="18"/>
          <w:szCs w:val="18"/>
          <w:lang w:val="en-GB"/>
        </w:rPr>
        <w:t>2</w:t>
      </w:r>
      <w:r w:rsidR="001979AC" w:rsidRPr="009A295C">
        <w:rPr>
          <w:rFonts w:ascii="Verdana" w:hAnsi="Verdana" w:cs="Arial"/>
          <w:sz w:val="18"/>
          <w:szCs w:val="18"/>
          <w:lang w:val="en-GB"/>
        </w:rPr>
        <w:t>5</w:t>
      </w:r>
      <w:r w:rsidR="00FE4795" w:rsidRPr="009A295C">
        <w:rPr>
          <w:rFonts w:ascii="Verdana" w:hAnsi="Verdana" w:cs="Arial"/>
          <w:sz w:val="18"/>
          <w:szCs w:val="18"/>
          <w:lang w:val="en-GB"/>
        </w:rPr>
        <w:t xml:space="preserve"> </w:t>
      </w:r>
      <w:r w:rsidRPr="009A295C">
        <w:rPr>
          <w:rFonts w:ascii="Verdana" w:hAnsi="Verdana" w:cs="Arial"/>
          <w:sz w:val="18"/>
          <w:szCs w:val="18"/>
          <w:lang w:val="en-GB"/>
        </w:rPr>
        <w:t>May</w:t>
      </w:r>
      <w:r w:rsidR="00FE4795" w:rsidRPr="009A295C">
        <w:rPr>
          <w:rFonts w:ascii="Verdana" w:hAnsi="Verdana" w:cs="Arial"/>
          <w:sz w:val="18"/>
          <w:szCs w:val="18"/>
          <w:lang w:val="en-GB"/>
        </w:rPr>
        <w:t xml:space="preserve"> </w:t>
      </w:r>
      <w:r w:rsidR="00F01465" w:rsidRPr="009A295C">
        <w:rPr>
          <w:rFonts w:ascii="Verdana" w:hAnsi="Verdana" w:cs="Arial"/>
          <w:sz w:val="18"/>
          <w:szCs w:val="18"/>
          <w:lang w:val="en-GB"/>
        </w:rPr>
        <w:t>20</w:t>
      </w:r>
      <w:r w:rsidR="003D191E" w:rsidRPr="009A295C">
        <w:rPr>
          <w:rFonts w:ascii="Verdana" w:hAnsi="Verdana" w:cs="Arial"/>
          <w:sz w:val="18"/>
          <w:szCs w:val="18"/>
          <w:lang w:val="en-GB"/>
        </w:rPr>
        <w:t>2</w:t>
      </w:r>
      <w:r w:rsidR="00435277" w:rsidRPr="009A295C">
        <w:rPr>
          <w:rFonts w:ascii="Verdana" w:hAnsi="Verdana" w:cs="Arial"/>
          <w:sz w:val="18"/>
          <w:szCs w:val="18"/>
          <w:lang w:val="en-GB"/>
        </w:rPr>
        <w:t>6</w:t>
      </w:r>
      <w:r w:rsidR="00904E56" w:rsidRPr="009A295C">
        <w:rPr>
          <w:rFonts w:ascii="Verdana" w:hAnsi="Verdana" w:cs="Arial"/>
          <w:sz w:val="18"/>
          <w:szCs w:val="18"/>
          <w:lang w:val="en-GB"/>
        </w:rPr>
        <w:t xml:space="preserve"> </w:t>
      </w:r>
    </w:p>
    <w:bookmarkEnd w:id="0"/>
    <w:p w14:paraId="22332385" w14:textId="77777777" w:rsidR="00AC4497" w:rsidRPr="009A295C" w:rsidRDefault="00AC4497" w:rsidP="00D457D9">
      <w:pPr>
        <w:spacing w:after="0" w:line="22" w:lineRule="atLeast"/>
        <w:jc w:val="both"/>
        <w:rPr>
          <w:rFonts w:ascii="Verdana" w:hAnsi="Verdana" w:cs="Arial"/>
          <w:b/>
          <w:color w:val="5B9BD5" w:themeColor="accent1"/>
          <w:sz w:val="26"/>
          <w:szCs w:val="26"/>
          <w:lang w:val="en-GB"/>
        </w:rPr>
      </w:pPr>
    </w:p>
    <w:p w14:paraId="30ACEC60" w14:textId="77777777" w:rsidR="00373A4A" w:rsidRPr="009A295C" w:rsidRDefault="00373A4A" w:rsidP="00D457D9">
      <w:pPr>
        <w:spacing w:after="0" w:line="22" w:lineRule="atLeast"/>
        <w:jc w:val="both"/>
        <w:rPr>
          <w:rFonts w:ascii="Verdana" w:hAnsi="Verdana" w:cs="Arial"/>
          <w:b/>
          <w:color w:val="5B9BD5" w:themeColor="accent1"/>
          <w:sz w:val="26"/>
          <w:szCs w:val="26"/>
          <w:lang w:val="en-GB"/>
        </w:rPr>
      </w:pPr>
    </w:p>
    <w:p w14:paraId="6C7F8C7E" w14:textId="77777777" w:rsidR="00373A4A" w:rsidRPr="009A295C" w:rsidRDefault="00373A4A" w:rsidP="00D457D9">
      <w:pPr>
        <w:spacing w:after="0" w:line="22" w:lineRule="atLeast"/>
        <w:jc w:val="both"/>
        <w:rPr>
          <w:rFonts w:ascii="Verdana" w:hAnsi="Verdana" w:cs="Arial"/>
          <w:b/>
          <w:color w:val="5B9BD5" w:themeColor="accent1"/>
          <w:sz w:val="26"/>
          <w:szCs w:val="26"/>
          <w:lang w:val="en-GB"/>
        </w:rPr>
      </w:pPr>
    </w:p>
    <w:bookmarkEnd w:id="1"/>
    <w:p w14:paraId="44B416F3" w14:textId="41E2D3CA" w:rsidR="001979AC" w:rsidRPr="009A295C" w:rsidRDefault="003E4827" w:rsidP="00D457D9">
      <w:pPr>
        <w:spacing w:after="0" w:line="22" w:lineRule="atLeast"/>
        <w:rPr>
          <w:rFonts w:ascii="Verdana" w:hAnsi="Verdana" w:cs="Arial"/>
          <w:b/>
          <w:color w:val="5B9BD5" w:themeColor="accent1"/>
          <w:sz w:val="26"/>
          <w:szCs w:val="26"/>
          <w:lang w:val="en-GB"/>
        </w:rPr>
      </w:pPr>
      <w:r w:rsidRPr="009A295C">
        <w:rPr>
          <w:rFonts w:ascii="Verdana" w:hAnsi="Verdana" w:cs="Arial"/>
          <w:b/>
          <w:color w:val="5B9BD5" w:themeColor="accent1"/>
          <w:sz w:val="26"/>
          <w:szCs w:val="26"/>
          <w:lang w:val="en-GB"/>
        </w:rPr>
        <w:t>Strong Opening of 2026 for GPW Group</w:t>
      </w:r>
      <w:r w:rsidR="001979AC" w:rsidRPr="009A295C">
        <w:rPr>
          <w:rFonts w:ascii="Verdana" w:hAnsi="Verdana" w:cs="Arial"/>
          <w:b/>
          <w:color w:val="5B9BD5" w:themeColor="accent1"/>
          <w:sz w:val="26"/>
          <w:szCs w:val="26"/>
          <w:lang w:val="en-GB"/>
        </w:rPr>
        <w:t xml:space="preserve"> </w:t>
      </w:r>
    </w:p>
    <w:p w14:paraId="21B63E7E" w14:textId="77777777" w:rsidR="00D457D9" w:rsidRPr="009A295C" w:rsidRDefault="00D457D9" w:rsidP="00D457D9">
      <w:pPr>
        <w:spacing w:after="0" w:line="22" w:lineRule="atLeast"/>
        <w:jc w:val="both"/>
        <w:rPr>
          <w:rFonts w:ascii="Verdana" w:hAnsi="Verdana" w:cs="Arial"/>
          <w:bCs/>
          <w:color w:val="5B9BD5" w:themeColor="accent1"/>
          <w:sz w:val="20"/>
          <w:szCs w:val="20"/>
          <w:lang w:val="en-GB"/>
        </w:rPr>
      </w:pPr>
    </w:p>
    <w:p w14:paraId="1A231FBC" w14:textId="3EAEF85B" w:rsidR="00A25DA9" w:rsidRPr="009A295C" w:rsidRDefault="00A25DA9" w:rsidP="00D457D9">
      <w:pPr>
        <w:spacing w:after="0" w:line="22" w:lineRule="atLeast"/>
        <w:jc w:val="both"/>
        <w:rPr>
          <w:rFonts w:ascii="Verdana" w:hAnsi="Verdana" w:cs="Arial"/>
          <w:bCs/>
          <w:color w:val="5B9BD5" w:themeColor="accent1"/>
          <w:sz w:val="20"/>
          <w:szCs w:val="20"/>
          <w:lang w:val="en-GB"/>
        </w:rPr>
      </w:pPr>
      <w:r w:rsidRPr="009A295C">
        <w:rPr>
          <w:rFonts w:ascii="Verdana" w:hAnsi="Verdana" w:cs="Arial"/>
          <w:bCs/>
          <w:color w:val="5B9BD5" w:themeColor="accent1"/>
          <w:sz w:val="20"/>
          <w:szCs w:val="20"/>
          <w:lang w:val="en-GB"/>
        </w:rPr>
        <w:t>The Warsaw Stock Exchange Group</w:t>
      </w:r>
      <w:r w:rsidRPr="009A295C">
        <w:rPr>
          <w:rFonts w:ascii="Verdana" w:hAnsi="Verdana" w:cs="Arial"/>
          <w:bCs/>
          <w:color w:val="5B9BD5" w:themeColor="accent1"/>
          <w:sz w:val="20"/>
          <w:szCs w:val="20"/>
          <w:lang w:val="en-GB"/>
        </w:rPr>
        <w:t xml:space="preserve"> (GPW Group)</w:t>
      </w:r>
      <w:r w:rsidRPr="009A295C">
        <w:rPr>
          <w:rFonts w:ascii="Verdana" w:hAnsi="Verdana" w:cs="Arial"/>
          <w:bCs/>
          <w:color w:val="5B9BD5" w:themeColor="accent1"/>
          <w:sz w:val="20"/>
          <w:szCs w:val="20"/>
          <w:lang w:val="en-GB"/>
        </w:rPr>
        <w:t xml:space="preserve"> </w:t>
      </w:r>
      <w:r w:rsidRPr="009A295C">
        <w:rPr>
          <w:rFonts w:ascii="Verdana" w:hAnsi="Verdana" w:cs="Arial"/>
          <w:bCs/>
          <w:color w:val="5B9BD5" w:themeColor="accent1"/>
          <w:sz w:val="20"/>
          <w:szCs w:val="20"/>
          <w:lang w:val="en-GB"/>
        </w:rPr>
        <w:t>closed</w:t>
      </w:r>
      <w:r w:rsidRPr="009A295C">
        <w:rPr>
          <w:rFonts w:ascii="Verdana" w:hAnsi="Verdana" w:cs="Arial"/>
          <w:bCs/>
          <w:color w:val="5B9BD5" w:themeColor="accent1"/>
          <w:sz w:val="20"/>
          <w:szCs w:val="20"/>
          <w:lang w:val="en-GB"/>
        </w:rPr>
        <w:t xml:space="preserve"> the first quarter of 2026 with record revenue of PLN 168.8 million, representing a year-on-year increase of 27.5%. EBITDA rose by 42.3% year</w:t>
      </w:r>
      <w:r w:rsidRPr="009A295C">
        <w:rPr>
          <w:rFonts w:ascii="Verdana" w:hAnsi="Verdana" w:cs="Arial"/>
          <w:bCs/>
          <w:color w:val="5B9BD5" w:themeColor="accent1"/>
          <w:sz w:val="20"/>
          <w:szCs w:val="20"/>
          <w:lang w:val="en-GB"/>
        </w:rPr>
        <w:t xml:space="preserve"> </w:t>
      </w:r>
      <w:r w:rsidRPr="009A295C">
        <w:rPr>
          <w:rFonts w:ascii="Verdana" w:hAnsi="Verdana" w:cs="Arial"/>
          <w:bCs/>
          <w:color w:val="5B9BD5" w:themeColor="accent1"/>
          <w:sz w:val="20"/>
          <w:szCs w:val="20"/>
          <w:lang w:val="en-GB"/>
        </w:rPr>
        <w:t>on</w:t>
      </w:r>
      <w:r w:rsidRPr="009A295C">
        <w:rPr>
          <w:rFonts w:ascii="Verdana" w:hAnsi="Verdana" w:cs="Arial"/>
          <w:bCs/>
          <w:color w:val="5B9BD5" w:themeColor="accent1"/>
          <w:sz w:val="20"/>
          <w:szCs w:val="20"/>
          <w:lang w:val="en-GB"/>
        </w:rPr>
        <w:t xml:space="preserve"> </w:t>
      </w:r>
      <w:r w:rsidRPr="009A295C">
        <w:rPr>
          <w:rFonts w:ascii="Verdana" w:hAnsi="Verdana" w:cs="Arial"/>
          <w:bCs/>
          <w:color w:val="5B9BD5" w:themeColor="accent1"/>
          <w:sz w:val="20"/>
          <w:szCs w:val="20"/>
          <w:lang w:val="en-GB"/>
        </w:rPr>
        <w:t>year to PLN 77.9 million whil</w:t>
      </w:r>
      <w:r w:rsidRPr="009A295C">
        <w:rPr>
          <w:rFonts w:ascii="Verdana" w:hAnsi="Verdana" w:cs="Arial"/>
          <w:bCs/>
          <w:color w:val="5B9BD5" w:themeColor="accent1"/>
          <w:sz w:val="20"/>
          <w:szCs w:val="20"/>
          <w:lang w:val="en-GB"/>
        </w:rPr>
        <w:t>e</w:t>
      </w:r>
      <w:r w:rsidRPr="009A295C">
        <w:rPr>
          <w:rFonts w:ascii="Verdana" w:hAnsi="Verdana" w:cs="Arial"/>
          <w:bCs/>
          <w:color w:val="5B9BD5" w:themeColor="accent1"/>
          <w:sz w:val="20"/>
          <w:szCs w:val="20"/>
          <w:lang w:val="en-GB"/>
        </w:rPr>
        <w:t xml:space="preserve"> net profit attributable to shareholders of the parent </w:t>
      </w:r>
      <w:r w:rsidRPr="009A295C">
        <w:rPr>
          <w:rFonts w:ascii="Verdana" w:hAnsi="Verdana" w:cs="Arial"/>
          <w:bCs/>
          <w:color w:val="5B9BD5" w:themeColor="accent1"/>
          <w:sz w:val="20"/>
          <w:szCs w:val="20"/>
          <w:lang w:val="en-GB"/>
        </w:rPr>
        <w:t>entity</w:t>
      </w:r>
      <w:r w:rsidRPr="009A295C">
        <w:rPr>
          <w:rFonts w:ascii="Verdana" w:hAnsi="Verdana" w:cs="Arial"/>
          <w:bCs/>
          <w:color w:val="5B9BD5" w:themeColor="accent1"/>
          <w:sz w:val="20"/>
          <w:szCs w:val="20"/>
          <w:lang w:val="en-GB"/>
        </w:rPr>
        <w:t xml:space="preserve"> increased by 37.8% year</w:t>
      </w:r>
      <w:r w:rsidRPr="009A295C">
        <w:rPr>
          <w:rFonts w:ascii="Verdana" w:hAnsi="Verdana" w:cs="Arial"/>
          <w:bCs/>
          <w:color w:val="5B9BD5" w:themeColor="accent1"/>
          <w:sz w:val="20"/>
          <w:szCs w:val="20"/>
          <w:lang w:val="en-GB"/>
        </w:rPr>
        <w:t xml:space="preserve"> </w:t>
      </w:r>
      <w:r w:rsidRPr="009A295C">
        <w:rPr>
          <w:rFonts w:ascii="Verdana" w:hAnsi="Verdana" w:cs="Arial"/>
          <w:bCs/>
          <w:color w:val="5B9BD5" w:themeColor="accent1"/>
          <w:sz w:val="20"/>
          <w:szCs w:val="20"/>
          <w:lang w:val="en-GB"/>
        </w:rPr>
        <w:t>on</w:t>
      </w:r>
      <w:r w:rsidRPr="009A295C">
        <w:rPr>
          <w:rFonts w:ascii="Verdana" w:hAnsi="Verdana" w:cs="Arial"/>
          <w:bCs/>
          <w:color w:val="5B9BD5" w:themeColor="accent1"/>
          <w:sz w:val="20"/>
          <w:szCs w:val="20"/>
          <w:lang w:val="en-GB"/>
        </w:rPr>
        <w:t xml:space="preserve"> </w:t>
      </w:r>
      <w:r w:rsidRPr="009A295C">
        <w:rPr>
          <w:rFonts w:ascii="Verdana" w:hAnsi="Verdana" w:cs="Arial"/>
          <w:bCs/>
          <w:color w:val="5B9BD5" w:themeColor="accent1"/>
          <w:sz w:val="20"/>
          <w:szCs w:val="20"/>
          <w:lang w:val="en-GB"/>
        </w:rPr>
        <w:t xml:space="preserve">year, reaching PLN 69.6 million. Despite high volatility in global markets, IPO, SPO and ABB transactions with a total value of PLN 4.2 billion were </w:t>
      </w:r>
      <w:r w:rsidRPr="009A295C">
        <w:rPr>
          <w:rFonts w:ascii="Verdana" w:hAnsi="Verdana" w:cs="Arial"/>
          <w:bCs/>
          <w:color w:val="5B9BD5" w:themeColor="accent1"/>
          <w:sz w:val="20"/>
          <w:szCs w:val="20"/>
          <w:lang w:val="en-GB"/>
        </w:rPr>
        <w:t>completed</w:t>
      </w:r>
      <w:r w:rsidRPr="009A295C">
        <w:rPr>
          <w:rFonts w:ascii="Verdana" w:hAnsi="Verdana" w:cs="Arial"/>
          <w:bCs/>
          <w:color w:val="5B9BD5" w:themeColor="accent1"/>
          <w:sz w:val="20"/>
          <w:szCs w:val="20"/>
          <w:lang w:val="en-GB"/>
        </w:rPr>
        <w:t xml:space="preserve"> on the Polish market.</w:t>
      </w:r>
    </w:p>
    <w:p w14:paraId="2A210A2C" w14:textId="77777777" w:rsidR="00D457D9" w:rsidRPr="009A295C" w:rsidRDefault="00D457D9" w:rsidP="00D457D9">
      <w:pPr>
        <w:spacing w:after="0" w:line="22" w:lineRule="atLeast"/>
        <w:jc w:val="both"/>
        <w:rPr>
          <w:rFonts w:ascii="Verdana" w:hAnsi="Verdana" w:cs="Arial"/>
          <w:bCs/>
          <w:color w:val="5B9BD5" w:themeColor="accent1"/>
          <w:sz w:val="20"/>
          <w:szCs w:val="20"/>
          <w:lang w:val="en-GB"/>
        </w:rPr>
      </w:pPr>
    </w:p>
    <w:p w14:paraId="30774328" w14:textId="3A6AF83D" w:rsidR="00220DDE" w:rsidRPr="009A295C" w:rsidRDefault="00220DDE" w:rsidP="00220DDE">
      <w:pPr>
        <w:pStyle w:val="ListParagraph"/>
        <w:numPr>
          <w:ilvl w:val="0"/>
          <w:numId w:val="24"/>
        </w:numPr>
        <w:shd w:val="clear" w:color="auto" w:fill="FFFFFF"/>
        <w:spacing w:line="22" w:lineRule="atLeast"/>
        <w:ind w:left="714" w:hanging="357"/>
        <w:jc w:val="both"/>
        <w:rPr>
          <w:rFonts w:ascii="Verdana" w:hAnsi="Verdana" w:cs="Arial"/>
          <w:b/>
          <w:sz w:val="14"/>
          <w:szCs w:val="14"/>
          <w:lang w:val="en-GB"/>
        </w:rPr>
      </w:pPr>
      <w:r w:rsidRPr="009A295C">
        <w:rPr>
          <w:rFonts w:ascii="Verdana" w:hAnsi="Verdana" w:cs="Arial"/>
          <w:b/>
          <w:sz w:val="14"/>
          <w:szCs w:val="14"/>
          <w:lang w:val="en-GB"/>
        </w:rPr>
        <w:t>PLN 1</w:t>
      </w:r>
      <w:r w:rsidRPr="009A295C">
        <w:rPr>
          <w:rFonts w:ascii="Verdana" w:hAnsi="Verdana" w:cs="Arial"/>
          <w:b/>
          <w:sz w:val="14"/>
          <w:szCs w:val="14"/>
          <w:lang w:val="en-GB"/>
        </w:rPr>
        <w:t>68.8</w:t>
      </w:r>
      <w:r w:rsidRPr="009A295C">
        <w:rPr>
          <w:rFonts w:ascii="Verdana" w:hAnsi="Verdana" w:cs="Arial"/>
          <w:b/>
          <w:sz w:val="14"/>
          <w:szCs w:val="14"/>
          <w:lang w:val="en-GB"/>
        </w:rPr>
        <w:t xml:space="preserve"> million – record-high sales revenue of the GPW Group in Q1 202</w:t>
      </w:r>
      <w:r w:rsidRPr="009A295C">
        <w:rPr>
          <w:rFonts w:ascii="Verdana" w:hAnsi="Verdana" w:cs="Arial"/>
          <w:b/>
          <w:sz w:val="14"/>
          <w:szCs w:val="14"/>
          <w:lang w:val="en-GB"/>
        </w:rPr>
        <w:t>6</w:t>
      </w:r>
      <w:r w:rsidRPr="009A295C">
        <w:rPr>
          <w:rFonts w:ascii="Verdana" w:hAnsi="Verdana" w:cs="Arial"/>
          <w:b/>
          <w:sz w:val="14"/>
          <w:szCs w:val="14"/>
          <w:lang w:val="en-GB"/>
        </w:rPr>
        <w:t xml:space="preserve"> (</w:t>
      </w:r>
      <w:r w:rsidRPr="009A295C">
        <w:rPr>
          <w:rFonts w:ascii="Verdana" w:hAnsi="Verdana" w:cs="Arial"/>
          <w:b/>
          <w:sz w:val="14"/>
          <w:szCs w:val="14"/>
          <w:lang w:val="en-GB"/>
        </w:rPr>
        <w:t>+27.5</w:t>
      </w:r>
      <w:r w:rsidRPr="009A295C">
        <w:rPr>
          <w:rFonts w:ascii="Verdana" w:hAnsi="Verdana" w:cs="Arial"/>
          <w:b/>
          <w:sz w:val="14"/>
          <w:szCs w:val="14"/>
          <w:lang w:val="en-GB"/>
        </w:rPr>
        <w:t>% YoY)</w:t>
      </w:r>
    </w:p>
    <w:p w14:paraId="4AF56AD5" w14:textId="297DFACA" w:rsidR="00220DDE" w:rsidRPr="009A295C" w:rsidRDefault="00220DDE" w:rsidP="00220DDE">
      <w:pPr>
        <w:pStyle w:val="ListParagraph"/>
        <w:numPr>
          <w:ilvl w:val="0"/>
          <w:numId w:val="24"/>
        </w:numPr>
        <w:shd w:val="clear" w:color="auto" w:fill="FFFFFF"/>
        <w:spacing w:line="22" w:lineRule="atLeast"/>
        <w:ind w:left="714" w:hanging="357"/>
        <w:jc w:val="both"/>
        <w:rPr>
          <w:rFonts w:ascii="Verdana" w:hAnsi="Verdana" w:cs="Arial"/>
          <w:b/>
          <w:sz w:val="14"/>
          <w:szCs w:val="14"/>
          <w:lang w:val="en-GB"/>
        </w:rPr>
      </w:pPr>
      <w:r w:rsidRPr="009A295C">
        <w:rPr>
          <w:rFonts w:ascii="Verdana" w:hAnsi="Verdana" w:cs="Arial"/>
          <w:b/>
          <w:sz w:val="14"/>
          <w:szCs w:val="14"/>
          <w:lang w:val="en-GB"/>
        </w:rPr>
        <w:t>PLN 1</w:t>
      </w:r>
      <w:r w:rsidR="00077BA9" w:rsidRPr="009A295C">
        <w:rPr>
          <w:rFonts w:ascii="Verdana" w:hAnsi="Verdana" w:cs="Arial"/>
          <w:b/>
          <w:sz w:val="14"/>
          <w:szCs w:val="14"/>
          <w:lang w:val="en-GB"/>
        </w:rPr>
        <w:t>57.8</w:t>
      </w:r>
      <w:r w:rsidRPr="009A295C">
        <w:rPr>
          <w:rFonts w:ascii="Verdana" w:hAnsi="Verdana" w:cs="Arial"/>
          <w:b/>
          <w:sz w:val="14"/>
          <w:szCs w:val="14"/>
          <w:lang w:val="en-GB"/>
        </w:rPr>
        <w:t xml:space="preserve"> billion – record-high Main Market EOB turnover in Q1 202</w:t>
      </w:r>
      <w:r w:rsidR="00077BA9" w:rsidRPr="009A295C">
        <w:rPr>
          <w:rFonts w:ascii="Verdana" w:hAnsi="Verdana" w:cs="Arial"/>
          <w:b/>
          <w:sz w:val="14"/>
          <w:szCs w:val="14"/>
          <w:lang w:val="en-GB"/>
        </w:rPr>
        <w:t>6</w:t>
      </w:r>
      <w:r w:rsidRPr="009A295C">
        <w:rPr>
          <w:rFonts w:ascii="Verdana" w:hAnsi="Verdana" w:cs="Arial"/>
          <w:b/>
          <w:sz w:val="14"/>
          <w:szCs w:val="14"/>
          <w:lang w:val="en-GB"/>
        </w:rPr>
        <w:t xml:space="preserve"> (</w:t>
      </w:r>
      <w:r w:rsidR="00077BA9" w:rsidRPr="009A295C">
        <w:rPr>
          <w:rFonts w:ascii="Verdana" w:hAnsi="Verdana" w:cs="Arial"/>
          <w:b/>
          <w:sz w:val="14"/>
          <w:szCs w:val="14"/>
          <w:lang w:val="en-GB"/>
        </w:rPr>
        <w:t>+41.9</w:t>
      </w:r>
      <w:r w:rsidRPr="009A295C">
        <w:rPr>
          <w:rFonts w:ascii="Verdana" w:hAnsi="Verdana" w:cs="Arial"/>
          <w:b/>
          <w:sz w:val="14"/>
          <w:szCs w:val="14"/>
          <w:lang w:val="en-GB"/>
        </w:rPr>
        <w:t>% YoY)</w:t>
      </w:r>
    </w:p>
    <w:p w14:paraId="28219D8D" w14:textId="1B68D0F4" w:rsidR="00077BA9" w:rsidRPr="009A295C" w:rsidRDefault="00077BA9" w:rsidP="00077BA9">
      <w:pPr>
        <w:pStyle w:val="ListParagraph"/>
        <w:numPr>
          <w:ilvl w:val="0"/>
          <w:numId w:val="24"/>
        </w:numPr>
        <w:shd w:val="clear" w:color="auto" w:fill="FFFFFF"/>
        <w:spacing w:line="22" w:lineRule="atLeast"/>
        <w:ind w:left="714" w:hanging="357"/>
        <w:jc w:val="both"/>
        <w:rPr>
          <w:rFonts w:ascii="Verdana" w:hAnsi="Verdana" w:cs="Arial"/>
          <w:b/>
          <w:sz w:val="14"/>
          <w:szCs w:val="14"/>
          <w:lang w:val="en-GB"/>
        </w:rPr>
      </w:pPr>
      <w:r w:rsidRPr="009A295C">
        <w:rPr>
          <w:rFonts w:ascii="Verdana" w:hAnsi="Verdana" w:cs="Arial"/>
          <w:b/>
          <w:sz w:val="14"/>
          <w:szCs w:val="14"/>
          <w:lang w:val="en-GB"/>
        </w:rPr>
        <w:t xml:space="preserve">PLN </w:t>
      </w:r>
      <w:r w:rsidRPr="009A295C">
        <w:rPr>
          <w:rFonts w:ascii="Verdana" w:hAnsi="Verdana" w:cs="Arial"/>
          <w:b/>
          <w:sz w:val="14"/>
          <w:szCs w:val="14"/>
          <w:lang w:val="en-GB"/>
        </w:rPr>
        <w:t>77.9</w:t>
      </w:r>
      <w:r w:rsidRPr="009A295C">
        <w:rPr>
          <w:rFonts w:ascii="Verdana" w:hAnsi="Verdana" w:cs="Arial"/>
          <w:b/>
          <w:sz w:val="14"/>
          <w:szCs w:val="14"/>
          <w:lang w:val="en-GB"/>
        </w:rPr>
        <w:t xml:space="preserve"> million – record-high GPW Group’s EBITDA in Q1 202</w:t>
      </w:r>
      <w:r w:rsidRPr="009A295C">
        <w:rPr>
          <w:rFonts w:ascii="Verdana" w:hAnsi="Verdana" w:cs="Arial"/>
          <w:b/>
          <w:sz w:val="14"/>
          <w:szCs w:val="14"/>
          <w:lang w:val="en-GB"/>
        </w:rPr>
        <w:t>6</w:t>
      </w:r>
      <w:r w:rsidRPr="009A295C">
        <w:rPr>
          <w:rFonts w:ascii="Verdana" w:hAnsi="Verdana" w:cs="Arial"/>
          <w:b/>
          <w:sz w:val="14"/>
          <w:szCs w:val="14"/>
          <w:lang w:val="en-GB"/>
        </w:rPr>
        <w:t xml:space="preserve"> (</w:t>
      </w:r>
      <w:r w:rsidRPr="009A295C">
        <w:rPr>
          <w:rFonts w:ascii="Verdana" w:hAnsi="Verdana" w:cs="Arial"/>
          <w:b/>
          <w:sz w:val="14"/>
          <w:szCs w:val="14"/>
          <w:lang w:val="en-GB"/>
        </w:rPr>
        <w:t>+42.3</w:t>
      </w:r>
      <w:r w:rsidRPr="009A295C">
        <w:rPr>
          <w:rFonts w:ascii="Verdana" w:hAnsi="Verdana" w:cs="Arial"/>
          <w:b/>
          <w:sz w:val="14"/>
          <w:szCs w:val="14"/>
          <w:lang w:val="en-GB"/>
        </w:rPr>
        <w:t>% YoY)</w:t>
      </w:r>
    </w:p>
    <w:p w14:paraId="71207A3E" w14:textId="50187D05" w:rsidR="00077BA9" w:rsidRPr="009A295C" w:rsidRDefault="00077BA9" w:rsidP="00077BA9">
      <w:pPr>
        <w:pStyle w:val="ListParagraph"/>
        <w:numPr>
          <w:ilvl w:val="0"/>
          <w:numId w:val="24"/>
        </w:numPr>
        <w:shd w:val="clear" w:color="auto" w:fill="FFFFFF"/>
        <w:spacing w:line="22" w:lineRule="atLeast"/>
        <w:ind w:left="714" w:hanging="357"/>
        <w:jc w:val="both"/>
        <w:rPr>
          <w:rFonts w:ascii="Verdana" w:hAnsi="Verdana" w:cs="Arial"/>
          <w:b/>
          <w:sz w:val="14"/>
          <w:szCs w:val="14"/>
          <w:lang w:val="en-GB"/>
        </w:rPr>
      </w:pPr>
      <w:r w:rsidRPr="009A295C">
        <w:rPr>
          <w:rFonts w:ascii="Verdana" w:hAnsi="Verdana" w:cs="Arial"/>
          <w:b/>
          <w:sz w:val="14"/>
          <w:szCs w:val="14"/>
          <w:lang w:val="en-GB"/>
        </w:rPr>
        <w:t xml:space="preserve">PLN </w:t>
      </w:r>
      <w:r w:rsidRPr="009A295C">
        <w:rPr>
          <w:rFonts w:ascii="Verdana" w:hAnsi="Verdana" w:cs="Arial"/>
          <w:b/>
          <w:sz w:val="14"/>
          <w:szCs w:val="14"/>
          <w:lang w:val="en-GB"/>
        </w:rPr>
        <w:t>69.6</w:t>
      </w:r>
      <w:r w:rsidRPr="009A295C">
        <w:rPr>
          <w:rFonts w:ascii="Verdana" w:hAnsi="Verdana" w:cs="Arial"/>
          <w:b/>
          <w:sz w:val="14"/>
          <w:szCs w:val="14"/>
          <w:lang w:val="en-GB"/>
        </w:rPr>
        <w:t xml:space="preserve"> million – net profit attributable to </w:t>
      </w:r>
      <w:r w:rsidRPr="009A295C">
        <w:rPr>
          <w:rFonts w:ascii="Verdana" w:hAnsi="Verdana" w:cs="Arial"/>
          <w:b/>
          <w:sz w:val="14"/>
          <w:szCs w:val="14"/>
          <w:lang w:val="en-GB"/>
        </w:rPr>
        <w:t>shareholders</w:t>
      </w:r>
      <w:r w:rsidRPr="009A295C">
        <w:rPr>
          <w:rFonts w:ascii="Verdana" w:hAnsi="Verdana" w:cs="Arial"/>
          <w:b/>
          <w:sz w:val="14"/>
          <w:szCs w:val="14"/>
          <w:lang w:val="en-GB"/>
        </w:rPr>
        <w:t xml:space="preserve"> of the parent entity in Q1 202</w:t>
      </w:r>
      <w:r w:rsidRPr="009A295C">
        <w:rPr>
          <w:rFonts w:ascii="Verdana" w:hAnsi="Verdana" w:cs="Arial"/>
          <w:b/>
          <w:sz w:val="14"/>
          <w:szCs w:val="14"/>
          <w:lang w:val="en-GB"/>
        </w:rPr>
        <w:t>6</w:t>
      </w:r>
      <w:r w:rsidRPr="009A295C">
        <w:rPr>
          <w:rFonts w:ascii="Verdana" w:hAnsi="Verdana" w:cs="Arial"/>
          <w:b/>
          <w:sz w:val="14"/>
          <w:szCs w:val="14"/>
          <w:lang w:val="en-GB"/>
        </w:rPr>
        <w:t xml:space="preserve"> (</w:t>
      </w:r>
      <w:r w:rsidRPr="009A295C">
        <w:rPr>
          <w:rFonts w:ascii="Verdana" w:hAnsi="Verdana" w:cs="Arial"/>
          <w:b/>
          <w:sz w:val="14"/>
          <w:szCs w:val="14"/>
          <w:lang w:val="en-GB"/>
        </w:rPr>
        <w:t>+3</w:t>
      </w:r>
      <w:r w:rsidRPr="009A295C">
        <w:rPr>
          <w:rFonts w:ascii="Verdana" w:hAnsi="Verdana" w:cs="Arial"/>
          <w:b/>
          <w:sz w:val="14"/>
          <w:szCs w:val="14"/>
          <w:lang w:val="en-GB"/>
        </w:rPr>
        <w:t>7.8% YoY)</w:t>
      </w:r>
    </w:p>
    <w:p w14:paraId="7D1D9BE8" w14:textId="3E7F5337" w:rsidR="00077BA9" w:rsidRPr="009A295C" w:rsidRDefault="00077BA9" w:rsidP="00077BA9">
      <w:pPr>
        <w:pStyle w:val="ListParagraph"/>
        <w:numPr>
          <w:ilvl w:val="0"/>
          <w:numId w:val="24"/>
        </w:numPr>
        <w:shd w:val="clear" w:color="auto" w:fill="FFFFFF"/>
        <w:spacing w:line="22" w:lineRule="atLeast"/>
        <w:ind w:left="714" w:hanging="357"/>
        <w:jc w:val="both"/>
        <w:rPr>
          <w:rFonts w:ascii="Verdana" w:hAnsi="Verdana" w:cs="Arial"/>
          <w:b/>
          <w:sz w:val="14"/>
          <w:szCs w:val="14"/>
          <w:lang w:val="en-GB"/>
        </w:rPr>
      </w:pPr>
      <w:r w:rsidRPr="009A295C">
        <w:rPr>
          <w:rFonts w:ascii="Verdana" w:hAnsi="Verdana" w:cs="Arial"/>
          <w:b/>
          <w:sz w:val="14"/>
          <w:szCs w:val="14"/>
          <w:lang w:val="en-GB"/>
        </w:rPr>
        <w:t>57.7</w:t>
      </w:r>
      <w:r w:rsidRPr="009A295C">
        <w:rPr>
          <w:rFonts w:ascii="Verdana" w:hAnsi="Verdana" w:cs="Arial"/>
          <w:b/>
          <w:sz w:val="14"/>
          <w:szCs w:val="14"/>
          <w:lang w:val="en-GB"/>
        </w:rPr>
        <w:t>% – cost</w:t>
      </w:r>
      <w:r w:rsidR="00E270D6" w:rsidRPr="009A295C">
        <w:rPr>
          <w:rFonts w:ascii="Verdana" w:hAnsi="Verdana" w:cs="Arial"/>
          <w:b/>
          <w:sz w:val="14"/>
          <w:szCs w:val="14"/>
          <w:lang w:val="en-GB"/>
        </w:rPr>
        <w:t>/</w:t>
      </w:r>
      <w:r w:rsidRPr="009A295C">
        <w:rPr>
          <w:rFonts w:ascii="Verdana" w:hAnsi="Verdana" w:cs="Arial"/>
          <w:b/>
          <w:sz w:val="14"/>
          <w:szCs w:val="14"/>
          <w:lang w:val="en-GB"/>
        </w:rPr>
        <w:t xml:space="preserve">income ratio, the lowest </w:t>
      </w:r>
      <w:r w:rsidRPr="009A295C">
        <w:rPr>
          <w:rFonts w:ascii="Verdana" w:hAnsi="Verdana" w:cs="Arial"/>
          <w:b/>
          <w:sz w:val="14"/>
          <w:szCs w:val="14"/>
          <w:lang w:val="en-GB"/>
        </w:rPr>
        <w:t>since 2021</w:t>
      </w:r>
    </w:p>
    <w:p w14:paraId="712CD6A6" w14:textId="0877CA67" w:rsidR="00220DDE" w:rsidRPr="009A295C" w:rsidRDefault="00220DDE" w:rsidP="00220DDE">
      <w:pPr>
        <w:pStyle w:val="ListParagraph"/>
        <w:numPr>
          <w:ilvl w:val="0"/>
          <w:numId w:val="24"/>
        </w:numPr>
        <w:shd w:val="clear" w:color="auto" w:fill="FFFFFF"/>
        <w:spacing w:line="22" w:lineRule="atLeast"/>
        <w:ind w:left="714" w:hanging="357"/>
        <w:jc w:val="both"/>
        <w:rPr>
          <w:rFonts w:ascii="Verdana" w:hAnsi="Verdana" w:cs="Arial"/>
          <w:b/>
          <w:sz w:val="14"/>
          <w:szCs w:val="14"/>
          <w:lang w:val="en-GB"/>
        </w:rPr>
      </w:pPr>
      <w:r w:rsidRPr="009A295C">
        <w:rPr>
          <w:rFonts w:ascii="Verdana" w:hAnsi="Verdana" w:cs="Arial"/>
          <w:b/>
          <w:sz w:val="14"/>
          <w:szCs w:val="14"/>
          <w:lang w:val="en-GB"/>
        </w:rPr>
        <w:t>PLN 3.</w:t>
      </w:r>
      <w:r w:rsidR="00077BA9" w:rsidRPr="009A295C">
        <w:rPr>
          <w:rFonts w:ascii="Verdana" w:hAnsi="Verdana" w:cs="Arial"/>
          <w:b/>
          <w:sz w:val="14"/>
          <w:szCs w:val="14"/>
          <w:lang w:val="en-GB"/>
        </w:rPr>
        <w:t>40</w:t>
      </w:r>
      <w:r w:rsidRPr="009A295C">
        <w:rPr>
          <w:rFonts w:ascii="Verdana" w:hAnsi="Verdana" w:cs="Arial"/>
          <w:b/>
          <w:sz w:val="14"/>
          <w:szCs w:val="14"/>
          <w:lang w:val="en-GB"/>
        </w:rPr>
        <w:t xml:space="preserve"> per share – recommended </w:t>
      </w:r>
      <w:r w:rsidR="00077BA9" w:rsidRPr="009A295C">
        <w:rPr>
          <w:rFonts w:ascii="Verdana" w:hAnsi="Verdana" w:cs="Arial"/>
          <w:b/>
          <w:sz w:val="14"/>
          <w:szCs w:val="14"/>
          <w:lang w:val="en-GB"/>
        </w:rPr>
        <w:t xml:space="preserve">record-high </w:t>
      </w:r>
      <w:r w:rsidRPr="009A295C">
        <w:rPr>
          <w:rFonts w:ascii="Verdana" w:hAnsi="Verdana" w:cs="Arial"/>
          <w:b/>
          <w:sz w:val="14"/>
          <w:szCs w:val="14"/>
          <w:lang w:val="en-GB"/>
        </w:rPr>
        <w:t>dividend for 202</w:t>
      </w:r>
      <w:r w:rsidR="00077BA9" w:rsidRPr="009A295C">
        <w:rPr>
          <w:rFonts w:ascii="Verdana" w:hAnsi="Verdana" w:cs="Arial"/>
          <w:b/>
          <w:sz w:val="14"/>
          <w:szCs w:val="14"/>
          <w:lang w:val="en-GB"/>
        </w:rPr>
        <w:t>5</w:t>
      </w:r>
    </w:p>
    <w:p w14:paraId="41C2BDEC" w14:textId="77777777" w:rsidR="00D457D9" w:rsidRPr="009A295C" w:rsidRDefault="00D457D9" w:rsidP="00D457D9">
      <w:pPr>
        <w:shd w:val="clear" w:color="auto" w:fill="FFFFFF"/>
        <w:spacing w:after="0" w:line="22" w:lineRule="atLeast"/>
        <w:jc w:val="both"/>
        <w:rPr>
          <w:rFonts w:ascii="Verdana" w:hAnsi="Verdana" w:cs="Arial"/>
          <w:sz w:val="18"/>
          <w:szCs w:val="18"/>
          <w:lang w:val="en-GB"/>
        </w:rPr>
      </w:pPr>
    </w:p>
    <w:p w14:paraId="5C696240" w14:textId="6384EB1B" w:rsidR="00A25DA9" w:rsidRPr="009A295C" w:rsidRDefault="00A25DA9" w:rsidP="00D457D9">
      <w:pPr>
        <w:shd w:val="clear" w:color="auto" w:fill="FFFFFF"/>
        <w:spacing w:after="0" w:line="22" w:lineRule="atLeast"/>
        <w:jc w:val="both"/>
        <w:rPr>
          <w:rFonts w:ascii="Verdana" w:hAnsi="Verdana" w:cs="Arial"/>
          <w:sz w:val="18"/>
          <w:szCs w:val="18"/>
          <w:lang w:val="en-GB"/>
        </w:rPr>
      </w:pPr>
      <w:r w:rsidRPr="009A295C">
        <w:rPr>
          <w:rFonts w:ascii="Verdana" w:hAnsi="Verdana" w:cs="Arial"/>
          <w:sz w:val="18"/>
          <w:szCs w:val="18"/>
          <w:lang w:val="en-GB"/>
        </w:rPr>
        <w:t>According to data from the Federation of European Securities Exchanges (FESE), the Polish market maintained a high ranking among European stock exchanges</w:t>
      </w:r>
      <w:r w:rsidRPr="009A295C">
        <w:rPr>
          <w:rFonts w:ascii="Verdana" w:hAnsi="Verdana" w:cs="Arial"/>
          <w:sz w:val="18"/>
          <w:szCs w:val="18"/>
          <w:lang w:val="en-GB"/>
        </w:rPr>
        <w:t xml:space="preserve"> in Q1 2026</w:t>
      </w:r>
      <w:r w:rsidRPr="009A295C">
        <w:rPr>
          <w:rFonts w:ascii="Verdana" w:hAnsi="Verdana" w:cs="Arial"/>
          <w:sz w:val="18"/>
          <w:szCs w:val="18"/>
          <w:lang w:val="en-GB"/>
        </w:rPr>
        <w:t xml:space="preserve"> </w:t>
      </w:r>
      <w:r w:rsidRPr="009A295C">
        <w:rPr>
          <w:rFonts w:ascii="Verdana" w:hAnsi="Verdana" w:cs="Arial"/>
          <w:sz w:val="18"/>
          <w:szCs w:val="18"/>
          <w:lang w:val="en-GB"/>
        </w:rPr>
        <w:t>as measu</w:t>
      </w:r>
      <w:r w:rsidR="009A295C">
        <w:rPr>
          <w:rFonts w:ascii="Verdana" w:hAnsi="Verdana" w:cs="Arial"/>
          <w:sz w:val="18"/>
          <w:szCs w:val="18"/>
          <w:lang w:val="en-GB"/>
        </w:rPr>
        <w:t>r</w:t>
      </w:r>
      <w:r w:rsidRPr="009A295C">
        <w:rPr>
          <w:rFonts w:ascii="Verdana" w:hAnsi="Verdana" w:cs="Arial"/>
          <w:sz w:val="18"/>
          <w:szCs w:val="18"/>
          <w:lang w:val="en-GB"/>
        </w:rPr>
        <w:t>ed by</w:t>
      </w:r>
      <w:r w:rsidRPr="009A295C">
        <w:rPr>
          <w:rFonts w:ascii="Verdana" w:hAnsi="Verdana" w:cs="Arial"/>
          <w:sz w:val="18"/>
          <w:szCs w:val="18"/>
          <w:lang w:val="en-GB"/>
        </w:rPr>
        <w:t xml:space="preserve"> liquidity, achieving a velocity</w:t>
      </w:r>
      <w:r w:rsidRPr="009A295C">
        <w:rPr>
          <w:rFonts w:ascii="Verdana" w:hAnsi="Verdana" w:cs="Arial"/>
          <w:sz w:val="18"/>
          <w:szCs w:val="18"/>
          <w:lang w:val="en-GB"/>
        </w:rPr>
        <w:t xml:space="preserve"> </w:t>
      </w:r>
      <w:r w:rsidRPr="009A295C">
        <w:rPr>
          <w:rFonts w:ascii="Verdana" w:hAnsi="Verdana" w:cs="Arial"/>
          <w:sz w:val="18"/>
          <w:szCs w:val="18"/>
          <w:lang w:val="en-GB"/>
        </w:rPr>
        <w:t xml:space="preserve">ratio of 52.5%. Turnover on GPW, calculated in </w:t>
      </w:r>
      <w:r w:rsidRPr="009A295C">
        <w:rPr>
          <w:rFonts w:ascii="Verdana" w:hAnsi="Verdana" w:cs="Arial"/>
          <w:sz w:val="18"/>
          <w:szCs w:val="18"/>
          <w:lang w:val="en-GB"/>
        </w:rPr>
        <w:t>EUR</w:t>
      </w:r>
      <w:r w:rsidRPr="009A295C">
        <w:rPr>
          <w:rFonts w:ascii="Verdana" w:hAnsi="Verdana" w:cs="Arial"/>
          <w:sz w:val="18"/>
          <w:szCs w:val="18"/>
          <w:lang w:val="en-GB"/>
        </w:rPr>
        <w:t>, rose by 40.6% year</w:t>
      </w:r>
      <w:r w:rsidRPr="009A295C">
        <w:rPr>
          <w:rFonts w:ascii="Verdana" w:hAnsi="Verdana" w:cs="Arial"/>
          <w:sz w:val="18"/>
          <w:szCs w:val="18"/>
          <w:lang w:val="en-GB"/>
        </w:rPr>
        <w:t xml:space="preserve"> </w:t>
      </w:r>
      <w:r w:rsidRPr="009A295C">
        <w:rPr>
          <w:rFonts w:ascii="Verdana" w:hAnsi="Verdana" w:cs="Arial"/>
          <w:sz w:val="18"/>
          <w:szCs w:val="18"/>
          <w:lang w:val="en-GB"/>
        </w:rPr>
        <w:t>on</w:t>
      </w:r>
      <w:r w:rsidRPr="009A295C">
        <w:rPr>
          <w:rFonts w:ascii="Verdana" w:hAnsi="Verdana" w:cs="Arial"/>
          <w:sz w:val="18"/>
          <w:szCs w:val="18"/>
          <w:lang w:val="en-GB"/>
        </w:rPr>
        <w:t xml:space="preserve"> </w:t>
      </w:r>
      <w:r w:rsidRPr="009A295C">
        <w:rPr>
          <w:rFonts w:ascii="Verdana" w:hAnsi="Verdana" w:cs="Arial"/>
          <w:sz w:val="18"/>
          <w:szCs w:val="18"/>
          <w:lang w:val="en-GB"/>
        </w:rPr>
        <w:t xml:space="preserve">year in </w:t>
      </w:r>
      <w:r w:rsidRPr="009A295C">
        <w:rPr>
          <w:rFonts w:ascii="Verdana" w:hAnsi="Verdana" w:cs="Arial"/>
          <w:sz w:val="18"/>
          <w:szCs w:val="18"/>
          <w:lang w:val="en-GB"/>
        </w:rPr>
        <w:t>Q1 2026</w:t>
      </w:r>
      <w:r w:rsidRPr="009A295C">
        <w:rPr>
          <w:rFonts w:ascii="Verdana" w:hAnsi="Verdana" w:cs="Arial"/>
          <w:sz w:val="18"/>
          <w:szCs w:val="18"/>
          <w:lang w:val="en-GB"/>
        </w:rPr>
        <w:t xml:space="preserve"> and was well above the median for European markets of 27.3%.</w:t>
      </w:r>
    </w:p>
    <w:p w14:paraId="0B2F7C62" w14:textId="77777777" w:rsidR="00D457D9" w:rsidRPr="009A295C" w:rsidRDefault="00D457D9" w:rsidP="00D457D9">
      <w:pPr>
        <w:shd w:val="clear" w:color="auto" w:fill="FFFFFF"/>
        <w:spacing w:after="0" w:line="22" w:lineRule="atLeast"/>
        <w:jc w:val="both"/>
        <w:rPr>
          <w:rFonts w:ascii="Verdana" w:hAnsi="Verdana" w:cs="Arial"/>
          <w:sz w:val="18"/>
          <w:szCs w:val="18"/>
          <w:lang w:val="en-GB"/>
        </w:rPr>
      </w:pPr>
    </w:p>
    <w:p w14:paraId="42F201FC" w14:textId="206EF26A" w:rsidR="00A25DA9" w:rsidRPr="009A295C" w:rsidRDefault="00A25DA9" w:rsidP="00D457D9">
      <w:pPr>
        <w:shd w:val="clear" w:color="auto" w:fill="FFFFFF"/>
        <w:spacing w:after="0" w:line="22" w:lineRule="atLeast"/>
        <w:jc w:val="both"/>
        <w:rPr>
          <w:rFonts w:ascii="Verdana" w:hAnsi="Verdana"/>
          <w:sz w:val="18"/>
          <w:szCs w:val="18"/>
          <w:lang w:val="en-GB"/>
        </w:rPr>
      </w:pPr>
      <w:r w:rsidRPr="009A295C">
        <w:rPr>
          <w:rFonts w:ascii="Verdana" w:hAnsi="Verdana"/>
          <w:sz w:val="18"/>
          <w:szCs w:val="18"/>
          <w:lang w:val="en-GB"/>
        </w:rPr>
        <w:t>“</w:t>
      </w:r>
      <w:r w:rsidRPr="009A295C">
        <w:rPr>
          <w:rFonts w:ascii="Verdana" w:hAnsi="Verdana"/>
          <w:i/>
          <w:iCs/>
          <w:sz w:val="18"/>
          <w:szCs w:val="18"/>
          <w:lang w:val="en-GB"/>
        </w:rPr>
        <w:t>The first quarter of 2026 was a record-breaking period for GPW in almost every respect</w:t>
      </w:r>
      <w:r w:rsidRPr="009A295C">
        <w:rPr>
          <w:rFonts w:ascii="Verdana" w:hAnsi="Verdana"/>
          <w:i/>
          <w:iCs/>
          <w:sz w:val="18"/>
          <w:szCs w:val="18"/>
          <w:lang w:val="en-GB"/>
        </w:rPr>
        <w:t>,</w:t>
      </w:r>
      <w:r w:rsidRPr="009A295C">
        <w:rPr>
          <w:rFonts w:ascii="Verdana" w:hAnsi="Verdana"/>
          <w:i/>
          <w:iCs/>
          <w:sz w:val="18"/>
          <w:szCs w:val="18"/>
          <w:lang w:val="en-GB"/>
        </w:rPr>
        <w:t xml:space="preserve"> from revenue and financial results to investor activity and market turnover. We are particularly </w:t>
      </w:r>
      <w:r w:rsidRPr="009A295C">
        <w:rPr>
          <w:rFonts w:ascii="Verdana" w:hAnsi="Verdana"/>
          <w:i/>
          <w:iCs/>
          <w:sz w:val="18"/>
          <w:szCs w:val="18"/>
          <w:lang w:val="en-GB"/>
        </w:rPr>
        <w:t>delighted</w:t>
      </w:r>
      <w:r w:rsidRPr="009A295C">
        <w:rPr>
          <w:rFonts w:ascii="Verdana" w:hAnsi="Verdana"/>
          <w:i/>
          <w:iCs/>
          <w:sz w:val="18"/>
          <w:szCs w:val="18"/>
          <w:lang w:val="en-GB"/>
        </w:rPr>
        <w:t xml:space="preserve"> that, despite increased volatility on global markets, the Warsaw Stock Exchange is ensuring continuity of financing for large transactions </w:t>
      </w:r>
      <w:r w:rsidR="005D3696" w:rsidRPr="009A295C">
        <w:rPr>
          <w:rFonts w:ascii="Verdana" w:hAnsi="Verdana"/>
          <w:i/>
          <w:iCs/>
          <w:sz w:val="18"/>
          <w:szCs w:val="18"/>
          <w:lang w:val="en-GB"/>
        </w:rPr>
        <w:t>as well as</w:t>
      </w:r>
      <w:r w:rsidRPr="009A295C">
        <w:rPr>
          <w:rFonts w:ascii="Verdana" w:hAnsi="Verdana"/>
          <w:i/>
          <w:iCs/>
          <w:sz w:val="18"/>
          <w:szCs w:val="18"/>
          <w:lang w:val="en-GB"/>
        </w:rPr>
        <w:t xml:space="preserve"> issues supporting the </w:t>
      </w:r>
      <w:r w:rsidR="005D3696" w:rsidRPr="009A295C">
        <w:rPr>
          <w:rFonts w:ascii="Verdana" w:hAnsi="Verdana"/>
          <w:i/>
          <w:iCs/>
          <w:sz w:val="18"/>
          <w:szCs w:val="18"/>
          <w:lang w:val="en-GB"/>
        </w:rPr>
        <w:t>growth</w:t>
      </w:r>
      <w:r w:rsidRPr="009A295C">
        <w:rPr>
          <w:rFonts w:ascii="Verdana" w:hAnsi="Verdana"/>
          <w:i/>
          <w:iCs/>
          <w:sz w:val="18"/>
          <w:szCs w:val="18"/>
          <w:lang w:val="en-GB"/>
        </w:rPr>
        <w:t xml:space="preserve"> of smaller, innovative companies,</w:t>
      </w:r>
      <w:r w:rsidRPr="009A295C">
        <w:rPr>
          <w:rFonts w:ascii="Verdana" w:hAnsi="Verdana"/>
          <w:sz w:val="18"/>
          <w:szCs w:val="18"/>
          <w:lang w:val="en-GB"/>
        </w:rPr>
        <w:t xml:space="preserve">” </w:t>
      </w:r>
      <w:r w:rsidR="005D3696" w:rsidRPr="009A295C">
        <w:rPr>
          <w:rFonts w:ascii="Verdana" w:hAnsi="Verdana"/>
          <w:sz w:val="18"/>
          <w:szCs w:val="18"/>
          <w:lang w:val="en-GB"/>
        </w:rPr>
        <w:t>said</w:t>
      </w:r>
      <w:r w:rsidRPr="009A295C">
        <w:rPr>
          <w:rFonts w:ascii="Verdana" w:hAnsi="Verdana"/>
          <w:sz w:val="18"/>
          <w:szCs w:val="18"/>
          <w:lang w:val="en-GB"/>
        </w:rPr>
        <w:t xml:space="preserve"> Tomasz Bardziłowski, President of the Management Board of the Warsaw Stock Exchange.</w:t>
      </w:r>
    </w:p>
    <w:p w14:paraId="6157EF1D" w14:textId="77777777" w:rsidR="00D457D9" w:rsidRPr="009A295C" w:rsidRDefault="00D457D9" w:rsidP="00D457D9">
      <w:pPr>
        <w:shd w:val="clear" w:color="auto" w:fill="FFFFFF"/>
        <w:spacing w:after="0" w:line="22" w:lineRule="atLeast"/>
        <w:jc w:val="both"/>
        <w:rPr>
          <w:rFonts w:ascii="Verdana" w:hAnsi="Verdana"/>
          <w:sz w:val="18"/>
          <w:szCs w:val="18"/>
          <w:lang w:val="en-GB"/>
        </w:rPr>
      </w:pPr>
    </w:p>
    <w:p w14:paraId="36375339" w14:textId="311D5DD1" w:rsidR="00A25DA9" w:rsidRPr="009A295C" w:rsidRDefault="005D3696" w:rsidP="00D457D9">
      <w:pPr>
        <w:shd w:val="clear" w:color="auto" w:fill="FFFFFF"/>
        <w:spacing w:after="0" w:line="22" w:lineRule="atLeast"/>
        <w:jc w:val="both"/>
        <w:rPr>
          <w:rFonts w:ascii="Verdana" w:hAnsi="Verdana"/>
          <w:sz w:val="18"/>
          <w:szCs w:val="18"/>
          <w:lang w:val="en-GB"/>
        </w:rPr>
      </w:pPr>
      <w:r w:rsidRPr="009A295C">
        <w:rPr>
          <w:rFonts w:ascii="Verdana" w:hAnsi="Verdana"/>
          <w:sz w:val="18"/>
          <w:szCs w:val="18"/>
          <w:lang w:val="en-GB"/>
        </w:rPr>
        <w:t>T</w:t>
      </w:r>
      <w:r w:rsidR="00A25DA9" w:rsidRPr="009A295C">
        <w:rPr>
          <w:rFonts w:ascii="Verdana" w:hAnsi="Verdana"/>
          <w:sz w:val="18"/>
          <w:szCs w:val="18"/>
          <w:lang w:val="en-GB"/>
        </w:rPr>
        <w:t>he GPW Group generated record revenue of PLN 168.8 million</w:t>
      </w:r>
      <w:r w:rsidRPr="009A295C">
        <w:rPr>
          <w:rFonts w:ascii="Verdana" w:hAnsi="Verdana"/>
          <w:sz w:val="18"/>
          <w:szCs w:val="18"/>
          <w:lang w:val="en-GB"/>
        </w:rPr>
        <w:t xml:space="preserve"> in Q1 2026</w:t>
      </w:r>
      <w:r w:rsidR="00A25DA9" w:rsidRPr="009A295C">
        <w:rPr>
          <w:rFonts w:ascii="Verdana" w:hAnsi="Verdana"/>
          <w:sz w:val="18"/>
          <w:szCs w:val="18"/>
          <w:lang w:val="en-GB"/>
        </w:rPr>
        <w:t>, representing a year-on-year increase of 27.5%. This result was driven by revenue from the Financial Market and the Commodit</w:t>
      </w:r>
      <w:r w:rsidRPr="009A295C">
        <w:rPr>
          <w:rFonts w:ascii="Verdana" w:hAnsi="Verdana"/>
          <w:sz w:val="18"/>
          <w:szCs w:val="18"/>
          <w:lang w:val="en-GB"/>
        </w:rPr>
        <w:t>y</w:t>
      </w:r>
      <w:r w:rsidR="00A25DA9" w:rsidRPr="009A295C">
        <w:rPr>
          <w:rFonts w:ascii="Verdana" w:hAnsi="Verdana"/>
          <w:sz w:val="18"/>
          <w:szCs w:val="18"/>
          <w:lang w:val="en-GB"/>
        </w:rPr>
        <w:t xml:space="preserve"> Market.</w:t>
      </w:r>
    </w:p>
    <w:p w14:paraId="2C4077A3" w14:textId="77777777" w:rsidR="00D457D9" w:rsidRPr="009A295C" w:rsidRDefault="00D457D9" w:rsidP="00D457D9">
      <w:pPr>
        <w:shd w:val="clear" w:color="auto" w:fill="FFFFFF"/>
        <w:spacing w:after="0" w:line="22" w:lineRule="atLeast"/>
        <w:jc w:val="both"/>
        <w:rPr>
          <w:rFonts w:ascii="Verdana" w:hAnsi="Verdana"/>
          <w:sz w:val="18"/>
          <w:szCs w:val="18"/>
          <w:lang w:val="en-GB"/>
        </w:rPr>
      </w:pPr>
    </w:p>
    <w:p w14:paraId="2874CEB0" w14:textId="2CAC2168" w:rsidR="00A25DA9" w:rsidRPr="009A295C" w:rsidRDefault="005D3696" w:rsidP="00D457D9">
      <w:pPr>
        <w:shd w:val="clear" w:color="auto" w:fill="FFFFFF"/>
        <w:spacing w:after="0" w:line="22" w:lineRule="atLeast"/>
        <w:jc w:val="both"/>
        <w:rPr>
          <w:rFonts w:ascii="Verdana" w:hAnsi="Verdana"/>
          <w:sz w:val="18"/>
          <w:szCs w:val="18"/>
          <w:lang w:val="en-GB"/>
        </w:rPr>
      </w:pPr>
      <w:r w:rsidRPr="009A295C">
        <w:rPr>
          <w:rFonts w:ascii="Verdana" w:hAnsi="Verdana"/>
          <w:sz w:val="18"/>
          <w:szCs w:val="18"/>
          <w:lang w:val="en-GB"/>
        </w:rPr>
        <w:t>Revenue in</w:t>
      </w:r>
      <w:r w:rsidR="00A25DA9" w:rsidRPr="009A295C">
        <w:rPr>
          <w:rFonts w:ascii="Verdana" w:hAnsi="Verdana"/>
          <w:sz w:val="18"/>
          <w:szCs w:val="18"/>
          <w:lang w:val="en-GB"/>
        </w:rPr>
        <w:t xml:space="preserve"> the Financial Market segment amounted to PLN 114.3 million, representing a year-on-year increase of 34.3%. This growth in revenue was driven by record daily</w:t>
      </w:r>
      <w:r w:rsidRPr="009A295C">
        <w:rPr>
          <w:rFonts w:ascii="Verdana" w:hAnsi="Verdana"/>
          <w:sz w:val="18"/>
          <w:szCs w:val="18"/>
          <w:lang w:val="en-GB"/>
        </w:rPr>
        <w:t xml:space="preserve"> EOB</w:t>
      </w:r>
      <w:r w:rsidR="00A25DA9" w:rsidRPr="009A295C">
        <w:rPr>
          <w:rFonts w:ascii="Verdana" w:hAnsi="Verdana"/>
          <w:sz w:val="18"/>
          <w:szCs w:val="18"/>
          <w:lang w:val="en-GB"/>
        </w:rPr>
        <w:t xml:space="preserve"> </w:t>
      </w:r>
      <w:r w:rsidR="00F96A60" w:rsidRPr="009A295C">
        <w:rPr>
          <w:rFonts w:ascii="Verdana" w:hAnsi="Verdana"/>
          <w:sz w:val="18"/>
          <w:szCs w:val="18"/>
          <w:lang w:val="en-GB"/>
        </w:rPr>
        <w:t>turnover</w:t>
      </w:r>
      <w:r w:rsidR="00A25DA9" w:rsidRPr="009A295C">
        <w:rPr>
          <w:rFonts w:ascii="Verdana" w:hAnsi="Verdana"/>
          <w:sz w:val="18"/>
          <w:szCs w:val="18"/>
          <w:lang w:val="en-GB"/>
        </w:rPr>
        <w:t xml:space="preserve">, despite high volatility in global markets. From January to March 2026, turnover on the GPW Main Market reached PLN 157.8 billion, representing a year-on-year increase of 41.9%. The average daily value of </w:t>
      </w:r>
      <w:r w:rsidRPr="009A295C">
        <w:rPr>
          <w:rFonts w:ascii="Verdana" w:hAnsi="Verdana"/>
          <w:sz w:val="18"/>
          <w:szCs w:val="18"/>
          <w:lang w:val="en-GB"/>
        </w:rPr>
        <w:t>equity</w:t>
      </w:r>
      <w:r w:rsidR="00A25DA9" w:rsidRPr="009A295C">
        <w:rPr>
          <w:rFonts w:ascii="Verdana" w:hAnsi="Verdana"/>
          <w:sz w:val="18"/>
          <w:szCs w:val="18"/>
          <w:lang w:val="en-GB"/>
        </w:rPr>
        <w:t xml:space="preserve"> trading on the </w:t>
      </w:r>
      <w:r w:rsidRPr="009A295C">
        <w:rPr>
          <w:rFonts w:ascii="Verdana" w:hAnsi="Verdana"/>
          <w:sz w:val="18"/>
          <w:szCs w:val="18"/>
          <w:lang w:val="en-GB"/>
        </w:rPr>
        <w:t>Electronic O</w:t>
      </w:r>
      <w:r w:rsidR="00A25DA9" w:rsidRPr="009A295C">
        <w:rPr>
          <w:rFonts w:ascii="Verdana" w:hAnsi="Verdana"/>
          <w:sz w:val="18"/>
          <w:szCs w:val="18"/>
          <w:lang w:val="en-GB"/>
        </w:rPr>
        <w:t xml:space="preserve">rder </w:t>
      </w:r>
      <w:r w:rsidRPr="009A295C">
        <w:rPr>
          <w:rFonts w:ascii="Verdana" w:hAnsi="Verdana"/>
          <w:sz w:val="18"/>
          <w:szCs w:val="18"/>
          <w:lang w:val="en-GB"/>
        </w:rPr>
        <w:t>B</w:t>
      </w:r>
      <w:r w:rsidR="00A25DA9" w:rsidRPr="009A295C">
        <w:rPr>
          <w:rFonts w:ascii="Verdana" w:hAnsi="Verdana"/>
          <w:sz w:val="18"/>
          <w:szCs w:val="18"/>
          <w:lang w:val="en-GB"/>
        </w:rPr>
        <w:t xml:space="preserve">ook amounted to PLN 2.6 billion, a 41.9% year-on-year increase. </w:t>
      </w:r>
      <w:r w:rsidRPr="009A295C">
        <w:rPr>
          <w:rFonts w:ascii="Verdana" w:hAnsi="Verdana"/>
          <w:sz w:val="18"/>
          <w:szCs w:val="18"/>
          <w:lang w:val="en-GB"/>
        </w:rPr>
        <w:t>EOB</w:t>
      </w:r>
      <w:r w:rsidR="00A25DA9" w:rsidRPr="009A295C">
        <w:rPr>
          <w:rFonts w:ascii="Verdana" w:hAnsi="Verdana"/>
          <w:sz w:val="18"/>
          <w:szCs w:val="18"/>
          <w:lang w:val="en-GB"/>
        </w:rPr>
        <w:t xml:space="preserve"> turnover has more than doubled</w:t>
      </w:r>
      <w:r w:rsidRPr="009A295C">
        <w:rPr>
          <w:rFonts w:ascii="Verdana" w:hAnsi="Verdana"/>
          <w:sz w:val="18"/>
          <w:szCs w:val="18"/>
          <w:lang w:val="en-GB"/>
        </w:rPr>
        <w:t xml:space="preserve"> o</w:t>
      </w:r>
      <w:r w:rsidRPr="009A295C">
        <w:rPr>
          <w:rFonts w:ascii="Verdana" w:hAnsi="Verdana"/>
          <w:sz w:val="18"/>
          <w:szCs w:val="18"/>
          <w:lang w:val="en-GB"/>
        </w:rPr>
        <w:t>ver the last three years</w:t>
      </w:r>
      <w:r w:rsidR="00A25DA9" w:rsidRPr="009A295C">
        <w:rPr>
          <w:rFonts w:ascii="Verdana" w:hAnsi="Verdana"/>
          <w:sz w:val="18"/>
          <w:szCs w:val="18"/>
          <w:lang w:val="en-GB"/>
        </w:rPr>
        <w:t>, and the market capitalisation of domestic companies has risen from PLN 650 million to PLN 1,250 million.</w:t>
      </w:r>
    </w:p>
    <w:p w14:paraId="1EC48E76" w14:textId="77777777" w:rsidR="00D457D9" w:rsidRPr="009A295C" w:rsidRDefault="00D457D9" w:rsidP="00D457D9">
      <w:pPr>
        <w:shd w:val="clear" w:color="auto" w:fill="FFFFFF"/>
        <w:spacing w:after="0" w:line="22" w:lineRule="atLeast"/>
        <w:jc w:val="both"/>
        <w:rPr>
          <w:rFonts w:ascii="Verdana" w:hAnsi="Verdana"/>
          <w:sz w:val="18"/>
          <w:szCs w:val="18"/>
          <w:lang w:val="en-GB"/>
        </w:rPr>
      </w:pPr>
    </w:p>
    <w:p w14:paraId="7E69CB4E" w14:textId="7E46A701" w:rsidR="00A25DA9" w:rsidRPr="009A295C" w:rsidRDefault="00A25DA9" w:rsidP="00D457D9">
      <w:pPr>
        <w:shd w:val="clear" w:color="auto" w:fill="FFFFFF"/>
        <w:spacing w:after="0" w:line="22" w:lineRule="atLeast"/>
        <w:jc w:val="both"/>
        <w:rPr>
          <w:rFonts w:ascii="Verdana" w:hAnsi="Verdana"/>
          <w:sz w:val="18"/>
          <w:szCs w:val="18"/>
          <w:lang w:val="en-GB"/>
        </w:rPr>
      </w:pPr>
      <w:r w:rsidRPr="009A295C">
        <w:rPr>
          <w:rFonts w:ascii="Verdana" w:hAnsi="Verdana"/>
          <w:sz w:val="18"/>
          <w:szCs w:val="18"/>
          <w:lang w:val="en-GB"/>
        </w:rPr>
        <w:t xml:space="preserve">High </w:t>
      </w:r>
      <w:r w:rsidR="005D3696" w:rsidRPr="009A295C">
        <w:rPr>
          <w:rFonts w:ascii="Verdana" w:hAnsi="Verdana"/>
          <w:sz w:val="18"/>
          <w:szCs w:val="18"/>
          <w:lang w:val="en-GB"/>
        </w:rPr>
        <w:t>turnover</w:t>
      </w:r>
      <w:r w:rsidRPr="009A295C">
        <w:rPr>
          <w:rFonts w:ascii="Verdana" w:hAnsi="Verdana"/>
          <w:sz w:val="18"/>
          <w:szCs w:val="18"/>
          <w:lang w:val="en-GB"/>
        </w:rPr>
        <w:t xml:space="preserve"> in 2026 </w:t>
      </w:r>
      <w:r w:rsidR="005D3696" w:rsidRPr="009A295C">
        <w:rPr>
          <w:rFonts w:ascii="Verdana" w:hAnsi="Verdana"/>
          <w:sz w:val="18"/>
          <w:szCs w:val="18"/>
          <w:lang w:val="en-GB"/>
        </w:rPr>
        <w:t>was</w:t>
      </w:r>
      <w:r w:rsidRPr="009A295C">
        <w:rPr>
          <w:rFonts w:ascii="Verdana" w:hAnsi="Verdana"/>
          <w:sz w:val="18"/>
          <w:szCs w:val="18"/>
          <w:lang w:val="en-GB"/>
        </w:rPr>
        <w:t xml:space="preserve"> accompanied by record </w:t>
      </w:r>
      <w:r w:rsidR="005D3696" w:rsidRPr="009A295C">
        <w:rPr>
          <w:rFonts w:ascii="Verdana" w:hAnsi="Verdana"/>
          <w:sz w:val="18"/>
          <w:szCs w:val="18"/>
          <w:lang w:val="en-GB"/>
        </w:rPr>
        <w:t>performance of</w:t>
      </w:r>
      <w:r w:rsidRPr="009A295C">
        <w:rPr>
          <w:rFonts w:ascii="Verdana" w:hAnsi="Verdana"/>
          <w:sz w:val="18"/>
          <w:szCs w:val="18"/>
          <w:lang w:val="en-GB"/>
        </w:rPr>
        <w:t xml:space="preserve"> the main stock market indices. On the day the </w:t>
      </w:r>
      <w:r w:rsidR="005D3696" w:rsidRPr="009A295C">
        <w:rPr>
          <w:rFonts w:ascii="Verdana" w:hAnsi="Verdana"/>
          <w:sz w:val="18"/>
          <w:szCs w:val="18"/>
          <w:lang w:val="en-GB"/>
        </w:rPr>
        <w:t>Q1</w:t>
      </w:r>
      <w:r w:rsidRPr="009A295C">
        <w:rPr>
          <w:rFonts w:ascii="Verdana" w:hAnsi="Verdana"/>
          <w:sz w:val="18"/>
          <w:szCs w:val="18"/>
          <w:lang w:val="en-GB"/>
        </w:rPr>
        <w:t xml:space="preserve"> results were published, three indices reached all-time highs. The WIG index closed at 137,858.16 points</w:t>
      </w:r>
      <w:r w:rsidR="005D3696" w:rsidRPr="009A295C">
        <w:rPr>
          <w:rFonts w:ascii="Verdana" w:hAnsi="Verdana"/>
          <w:sz w:val="18"/>
          <w:szCs w:val="18"/>
          <w:lang w:val="en-GB"/>
        </w:rPr>
        <w:t>,</w:t>
      </w:r>
      <w:r w:rsidRPr="009A295C">
        <w:rPr>
          <w:rFonts w:ascii="Verdana" w:hAnsi="Verdana"/>
          <w:sz w:val="18"/>
          <w:szCs w:val="18"/>
          <w:lang w:val="en-GB"/>
        </w:rPr>
        <w:t xml:space="preserve"> an increase of 17.6% year</w:t>
      </w:r>
      <w:r w:rsidR="005D3696" w:rsidRPr="009A295C">
        <w:rPr>
          <w:rFonts w:ascii="Verdana" w:hAnsi="Verdana"/>
          <w:sz w:val="18"/>
          <w:szCs w:val="18"/>
          <w:lang w:val="en-GB"/>
        </w:rPr>
        <w:t xml:space="preserve"> to date</w:t>
      </w:r>
      <w:r w:rsidRPr="009A295C">
        <w:rPr>
          <w:rFonts w:ascii="Verdana" w:hAnsi="Verdana"/>
          <w:sz w:val="18"/>
          <w:szCs w:val="18"/>
          <w:lang w:val="en-GB"/>
        </w:rPr>
        <w:t xml:space="preserve">. The mWIG40 and sWIG80 indices also set </w:t>
      </w:r>
      <w:r w:rsidR="005D3696" w:rsidRPr="009A295C">
        <w:rPr>
          <w:rFonts w:ascii="Verdana" w:hAnsi="Verdana"/>
          <w:sz w:val="18"/>
          <w:szCs w:val="18"/>
          <w:lang w:val="en-GB"/>
        </w:rPr>
        <w:t xml:space="preserve">new </w:t>
      </w:r>
      <w:r w:rsidRPr="009A295C">
        <w:rPr>
          <w:rFonts w:ascii="Verdana" w:hAnsi="Verdana"/>
          <w:sz w:val="18"/>
          <w:szCs w:val="18"/>
          <w:lang w:val="en-GB"/>
        </w:rPr>
        <w:t xml:space="preserve">records, with the latter reaching 31,895.62 points, up 7.8% </w:t>
      </w:r>
      <w:r w:rsidR="005D3696" w:rsidRPr="009A295C">
        <w:rPr>
          <w:rFonts w:ascii="Verdana" w:hAnsi="Verdana"/>
          <w:sz w:val="18"/>
          <w:szCs w:val="18"/>
          <w:lang w:val="en-GB"/>
        </w:rPr>
        <w:t>year to date</w:t>
      </w:r>
      <w:r w:rsidRPr="009A295C">
        <w:rPr>
          <w:rFonts w:ascii="Verdana" w:hAnsi="Verdana"/>
          <w:sz w:val="18"/>
          <w:szCs w:val="18"/>
          <w:lang w:val="en-GB"/>
        </w:rPr>
        <w:t>, whil</w:t>
      </w:r>
      <w:r w:rsidR="005D3696" w:rsidRPr="009A295C">
        <w:rPr>
          <w:rFonts w:ascii="Verdana" w:hAnsi="Verdana"/>
          <w:sz w:val="18"/>
          <w:szCs w:val="18"/>
          <w:lang w:val="en-GB"/>
        </w:rPr>
        <w:t>e</w:t>
      </w:r>
      <w:r w:rsidRPr="009A295C">
        <w:rPr>
          <w:rFonts w:ascii="Verdana" w:hAnsi="Verdana"/>
          <w:sz w:val="18"/>
          <w:szCs w:val="18"/>
          <w:lang w:val="en-GB"/>
        </w:rPr>
        <w:t xml:space="preserve"> the mWIG40 has gained 18.1% </w:t>
      </w:r>
      <w:r w:rsidR="005D3696" w:rsidRPr="009A295C">
        <w:rPr>
          <w:rFonts w:ascii="Verdana" w:hAnsi="Verdana"/>
          <w:sz w:val="18"/>
          <w:szCs w:val="18"/>
          <w:lang w:val="en-GB"/>
        </w:rPr>
        <w:t>year to date</w:t>
      </w:r>
      <w:r w:rsidR="005D3696" w:rsidRPr="009A295C">
        <w:rPr>
          <w:rFonts w:ascii="Verdana" w:hAnsi="Verdana"/>
          <w:sz w:val="18"/>
          <w:szCs w:val="18"/>
          <w:lang w:val="en-GB"/>
        </w:rPr>
        <w:t xml:space="preserve"> </w:t>
      </w:r>
      <w:r w:rsidRPr="009A295C">
        <w:rPr>
          <w:rFonts w:ascii="Verdana" w:hAnsi="Verdana"/>
          <w:sz w:val="18"/>
          <w:szCs w:val="18"/>
          <w:lang w:val="en-GB"/>
        </w:rPr>
        <w:t xml:space="preserve">and is approaching the 10,000-point mark. Meanwhile, the WIG20 index is at its highest level in over 18 years and is less than 221 points short of its all-time high, having risen by 16.8% </w:t>
      </w:r>
      <w:r w:rsidR="005D3696" w:rsidRPr="009A295C">
        <w:rPr>
          <w:rFonts w:ascii="Verdana" w:hAnsi="Verdana"/>
          <w:sz w:val="18"/>
          <w:szCs w:val="18"/>
          <w:lang w:val="en-GB"/>
        </w:rPr>
        <w:t>year to date</w:t>
      </w:r>
      <w:r w:rsidRPr="009A295C">
        <w:rPr>
          <w:rFonts w:ascii="Verdana" w:hAnsi="Verdana"/>
          <w:sz w:val="18"/>
          <w:szCs w:val="18"/>
          <w:lang w:val="en-GB"/>
        </w:rPr>
        <w:t>.</w:t>
      </w:r>
    </w:p>
    <w:p w14:paraId="0899E9DB" w14:textId="77777777" w:rsidR="00D457D9" w:rsidRPr="009A295C" w:rsidRDefault="00D457D9" w:rsidP="00D457D9">
      <w:pPr>
        <w:shd w:val="clear" w:color="auto" w:fill="FFFFFF"/>
        <w:spacing w:after="0" w:line="22" w:lineRule="atLeast"/>
        <w:jc w:val="both"/>
        <w:rPr>
          <w:rFonts w:ascii="Verdana" w:hAnsi="Verdana"/>
          <w:sz w:val="18"/>
          <w:szCs w:val="18"/>
          <w:lang w:val="en-GB"/>
        </w:rPr>
      </w:pPr>
    </w:p>
    <w:p w14:paraId="3B35135B" w14:textId="3E905CEA" w:rsidR="00A25DA9" w:rsidRPr="009A295C" w:rsidRDefault="00A25DA9" w:rsidP="00E20794">
      <w:pPr>
        <w:shd w:val="clear" w:color="auto" w:fill="FFFFFF"/>
        <w:spacing w:after="0" w:line="22" w:lineRule="atLeast"/>
        <w:jc w:val="both"/>
        <w:rPr>
          <w:rFonts w:ascii="Verdana" w:hAnsi="Verdana" w:cs="Arial"/>
          <w:sz w:val="18"/>
          <w:szCs w:val="18"/>
          <w:lang w:val="en-GB"/>
        </w:rPr>
      </w:pPr>
      <w:r w:rsidRPr="009A295C">
        <w:rPr>
          <w:rFonts w:ascii="Verdana" w:hAnsi="Verdana" w:cs="Arial"/>
          <w:sz w:val="18"/>
          <w:szCs w:val="18"/>
          <w:lang w:val="en-GB"/>
        </w:rPr>
        <w:t xml:space="preserve">Positive trends were also </w:t>
      </w:r>
      <w:r w:rsidR="005D3696" w:rsidRPr="009A295C">
        <w:rPr>
          <w:rFonts w:ascii="Verdana" w:hAnsi="Verdana" w:cs="Arial"/>
          <w:sz w:val="18"/>
          <w:szCs w:val="18"/>
          <w:lang w:val="en-GB"/>
        </w:rPr>
        <w:t>reported</w:t>
      </w:r>
      <w:r w:rsidRPr="009A295C">
        <w:rPr>
          <w:rFonts w:ascii="Verdana" w:hAnsi="Verdana" w:cs="Arial"/>
          <w:sz w:val="18"/>
          <w:szCs w:val="18"/>
          <w:lang w:val="en-GB"/>
        </w:rPr>
        <w:t xml:space="preserve"> on the Commodity Market. Higher revenues at </w:t>
      </w:r>
      <w:r w:rsidR="005D3696" w:rsidRPr="009A295C">
        <w:rPr>
          <w:rFonts w:ascii="Verdana" w:hAnsi="Verdana" w:cs="Arial"/>
          <w:sz w:val="18"/>
          <w:szCs w:val="18"/>
          <w:lang w:val="en-GB"/>
        </w:rPr>
        <w:t>TGE</w:t>
      </w:r>
      <w:r w:rsidRPr="009A295C">
        <w:rPr>
          <w:rFonts w:ascii="Verdana" w:hAnsi="Verdana" w:cs="Arial"/>
          <w:sz w:val="18"/>
          <w:szCs w:val="18"/>
          <w:lang w:val="en-GB"/>
        </w:rPr>
        <w:t xml:space="preserve">, including </w:t>
      </w:r>
      <w:r w:rsidR="005D3696" w:rsidRPr="009A295C">
        <w:rPr>
          <w:rFonts w:ascii="Verdana" w:hAnsi="Verdana" w:cs="Arial"/>
          <w:sz w:val="18"/>
          <w:szCs w:val="18"/>
          <w:lang w:val="en-GB"/>
        </w:rPr>
        <w:t xml:space="preserve">revenues </w:t>
      </w:r>
      <w:r w:rsidRPr="009A295C">
        <w:rPr>
          <w:rFonts w:ascii="Verdana" w:hAnsi="Verdana" w:cs="Arial"/>
          <w:sz w:val="18"/>
          <w:szCs w:val="18"/>
          <w:lang w:val="en-GB"/>
        </w:rPr>
        <w:t>from trading in gas and electricity, offset lower revenues from trading in property rights. As a result, the Group’s revenues in the Commodity Market segment rose by 17.1% year</w:t>
      </w:r>
      <w:r w:rsidR="005D3696" w:rsidRPr="009A295C">
        <w:rPr>
          <w:rFonts w:ascii="Verdana" w:hAnsi="Verdana" w:cs="Arial"/>
          <w:sz w:val="18"/>
          <w:szCs w:val="18"/>
          <w:lang w:val="en-GB"/>
        </w:rPr>
        <w:t xml:space="preserve"> </w:t>
      </w:r>
      <w:r w:rsidRPr="009A295C">
        <w:rPr>
          <w:rFonts w:ascii="Verdana" w:hAnsi="Verdana" w:cs="Arial"/>
          <w:sz w:val="18"/>
          <w:szCs w:val="18"/>
          <w:lang w:val="en-GB"/>
        </w:rPr>
        <w:t>on</w:t>
      </w:r>
      <w:r w:rsidR="005D3696" w:rsidRPr="009A295C">
        <w:rPr>
          <w:rFonts w:ascii="Verdana" w:hAnsi="Verdana" w:cs="Arial"/>
          <w:sz w:val="18"/>
          <w:szCs w:val="18"/>
          <w:lang w:val="en-GB"/>
        </w:rPr>
        <w:t xml:space="preserve"> </w:t>
      </w:r>
      <w:r w:rsidRPr="009A295C">
        <w:rPr>
          <w:rFonts w:ascii="Verdana" w:hAnsi="Verdana" w:cs="Arial"/>
          <w:sz w:val="18"/>
          <w:szCs w:val="18"/>
          <w:lang w:val="en-GB"/>
        </w:rPr>
        <w:t>year, reaching PLN 50.6 million.</w:t>
      </w:r>
    </w:p>
    <w:p w14:paraId="34162F81" w14:textId="77777777" w:rsidR="00E20794" w:rsidRPr="009A295C" w:rsidRDefault="00E20794" w:rsidP="00E20794">
      <w:pPr>
        <w:shd w:val="clear" w:color="auto" w:fill="FFFFFF"/>
        <w:spacing w:after="0" w:line="22" w:lineRule="atLeast"/>
        <w:jc w:val="both"/>
        <w:rPr>
          <w:rFonts w:ascii="Verdana" w:hAnsi="Verdana" w:cs="Arial"/>
          <w:sz w:val="18"/>
          <w:szCs w:val="18"/>
          <w:lang w:val="en-GB"/>
        </w:rPr>
      </w:pPr>
    </w:p>
    <w:p w14:paraId="57A40679" w14:textId="29FB0131" w:rsidR="00A25DA9" w:rsidRPr="009A295C" w:rsidRDefault="005D3696" w:rsidP="00D457D9">
      <w:pPr>
        <w:shd w:val="clear" w:color="auto" w:fill="FFFFFF"/>
        <w:spacing w:after="0" w:line="22" w:lineRule="atLeast"/>
        <w:jc w:val="both"/>
        <w:rPr>
          <w:rFonts w:ascii="Verdana" w:hAnsi="Verdana" w:cs="Arial"/>
          <w:sz w:val="18"/>
          <w:szCs w:val="18"/>
          <w:lang w:val="en-GB"/>
        </w:rPr>
      </w:pPr>
      <w:r w:rsidRPr="009A295C">
        <w:rPr>
          <w:rFonts w:ascii="Verdana" w:hAnsi="Verdana" w:cs="Arial"/>
          <w:sz w:val="18"/>
          <w:szCs w:val="18"/>
          <w:lang w:val="en-GB"/>
        </w:rPr>
        <w:t>R</w:t>
      </w:r>
      <w:r w:rsidR="00A25DA9" w:rsidRPr="009A295C">
        <w:rPr>
          <w:rFonts w:ascii="Verdana" w:hAnsi="Verdana" w:cs="Arial"/>
          <w:sz w:val="18"/>
          <w:szCs w:val="18"/>
          <w:lang w:val="en-GB"/>
        </w:rPr>
        <w:t>evenue growth outpaced cost growth</w:t>
      </w:r>
      <w:r w:rsidRPr="009A295C">
        <w:rPr>
          <w:rFonts w:ascii="Verdana" w:hAnsi="Verdana" w:cs="Arial"/>
          <w:sz w:val="18"/>
          <w:szCs w:val="18"/>
          <w:lang w:val="en-GB"/>
        </w:rPr>
        <w:t xml:space="preserve"> f</w:t>
      </w:r>
      <w:r w:rsidRPr="009A295C">
        <w:rPr>
          <w:rFonts w:ascii="Verdana" w:hAnsi="Verdana" w:cs="Arial"/>
          <w:sz w:val="18"/>
          <w:szCs w:val="18"/>
          <w:lang w:val="en-GB"/>
        </w:rPr>
        <w:t>or the eighth consecutive quarter</w:t>
      </w:r>
      <w:r w:rsidR="00A25DA9" w:rsidRPr="009A295C">
        <w:rPr>
          <w:rFonts w:ascii="Verdana" w:hAnsi="Verdana" w:cs="Arial"/>
          <w:sz w:val="18"/>
          <w:szCs w:val="18"/>
          <w:lang w:val="en-GB"/>
        </w:rPr>
        <w:t xml:space="preserve">. The GPW Group’s operating </w:t>
      </w:r>
      <w:r w:rsidRPr="009A295C">
        <w:rPr>
          <w:rFonts w:ascii="Verdana" w:hAnsi="Verdana" w:cs="Arial"/>
          <w:sz w:val="18"/>
          <w:szCs w:val="18"/>
          <w:lang w:val="en-GB"/>
        </w:rPr>
        <w:t>expenses</w:t>
      </w:r>
      <w:r w:rsidR="00A25DA9" w:rsidRPr="009A295C">
        <w:rPr>
          <w:rFonts w:ascii="Verdana" w:hAnsi="Verdana" w:cs="Arial"/>
          <w:sz w:val="18"/>
          <w:szCs w:val="18"/>
          <w:lang w:val="en-GB"/>
        </w:rPr>
        <w:t xml:space="preserve"> rose by 11.8% year</w:t>
      </w:r>
      <w:r w:rsidRPr="009A295C">
        <w:rPr>
          <w:rFonts w:ascii="Verdana" w:hAnsi="Verdana" w:cs="Arial"/>
          <w:sz w:val="18"/>
          <w:szCs w:val="18"/>
          <w:lang w:val="en-GB"/>
        </w:rPr>
        <w:t xml:space="preserve"> </w:t>
      </w:r>
      <w:r w:rsidR="00A25DA9" w:rsidRPr="009A295C">
        <w:rPr>
          <w:rFonts w:ascii="Verdana" w:hAnsi="Verdana" w:cs="Arial"/>
          <w:sz w:val="18"/>
          <w:szCs w:val="18"/>
          <w:lang w:val="en-GB"/>
        </w:rPr>
        <w:t>on</w:t>
      </w:r>
      <w:r w:rsidRPr="009A295C">
        <w:rPr>
          <w:rFonts w:ascii="Verdana" w:hAnsi="Verdana" w:cs="Arial"/>
          <w:sz w:val="18"/>
          <w:szCs w:val="18"/>
          <w:lang w:val="en-GB"/>
        </w:rPr>
        <w:t xml:space="preserve"> </w:t>
      </w:r>
      <w:r w:rsidR="00A25DA9" w:rsidRPr="009A295C">
        <w:rPr>
          <w:rFonts w:ascii="Verdana" w:hAnsi="Verdana" w:cs="Arial"/>
          <w:sz w:val="18"/>
          <w:szCs w:val="18"/>
          <w:lang w:val="en-GB"/>
        </w:rPr>
        <w:t xml:space="preserve">year in </w:t>
      </w:r>
      <w:r w:rsidRPr="009A295C">
        <w:rPr>
          <w:rFonts w:ascii="Verdana" w:hAnsi="Verdana" w:cs="Arial"/>
          <w:sz w:val="18"/>
          <w:szCs w:val="18"/>
          <w:lang w:val="en-GB"/>
        </w:rPr>
        <w:t>Q1</w:t>
      </w:r>
      <w:r w:rsidR="00A25DA9" w:rsidRPr="009A295C">
        <w:rPr>
          <w:rFonts w:ascii="Verdana" w:hAnsi="Verdana" w:cs="Arial"/>
          <w:sz w:val="18"/>
          <w:szCs w:val="18"/>
          <w:lang w:val="en-GB"/>
        </w:rPr>
        <w:t xml:space="preserve"> 2026 </w:t>
      </w:r>
      <w:r w:rsidRPr="009A295C">
        <w:rPr>
          <w:rFonts w:ascii="Verdana" w:hAnsi="Verdana" w:cs="Arial"/>
          <w:sz w:val="18"/>
          <w:szCs w:val="18"/>
          <w:lang w:val="en-GB"/>
        </w:rPr>
        <w:t>and stood at</w:t>
      </w:r>
      <w:r w:rsidR="00A25DA9" w:rsidRPr="009A295C">
        <w:rPr>
          <w:rFonts w:ascii="Verdana" w:hAnsi="Verdana" w:cs="Arial"/>
          <w:sz w:val="18"/>
          <w:szCs w:val="18"/>
          <w:lang w:val="en-GB"/>
        </w:rPr>
        <w:t xml:space="preserve"> PLN 97.3 million. As a result, the cos</w:t>
      </w:r>
      <w:r w:rsidRPr="009A295C">
        <w:rPr>
          <w:rFonts w:ascii="Verdana" w:hAnsi="Verdana" w:cs="Arial"/>
          <w:sz w:val="18"/>
          <w:szCs w:val="18"/>
          <w:lang w:val="en-GB"/>
        </w:rPr>
        <w:t>t/</w:t>
      </w:r>
      <w:r w:rsidR="00A25DA9" w:rsidRPr="009A295C">
        <w:rPr>
          <w:rFonts w:ascii="Verdana" w:hAnsi="Verdana" w:cs="Arial"/>
          <w:sz w:val="18"/>
          <w:szCs w:val="18"/>
          <w:lang w:val="en-GB"/>
        </w:rPr>
        <w:t>income ratio fell to 57.7% from 65.8% a year earlier.</w:t>
      </w:r>
    </w:p>
    <w:p w14:paraId="7793D185" w14:textId="77777777" w:rsidR="00D457D9" w:rsidRPr="009A295C" w:rsidRDefault="00D457D9" w:rsidP="00D457D9">
      <w:pPr>
        <w:shd w:val="clear" w:color="auto" w:fill="FFFFFF"/>
        <w:spacing w:after="0" w:line="22" w:lineRule="atLeast"/>
        <w:jc w:val="both"/>
        <w:rPr>
          <w:rFonts w:ascii="Verdana" w:hAnsi="Verdana" w:cs="Arial"/>
          <w:sz w:val="18"/>
          <w:szCs w:val="18"/>
          <w:lang w:val="en-GB"/>
        </w:rPr>
      </w:pPr>
    </w:p>
    <w:p w14:paraId="12D4D642" w14:textId="55EE7118" w:rsidR="00A25DA9" w:rsidRPr="009A295C" w:rsidRDefault="00A25DA9" w:rsidP="00D457D9">
      <w:pPr>
        <w:shd w:val="clear" w:color="auto" w:fill="FFFFFF"/>
        <w:spacing w:after="0" w:line="22" w:lineRule="atLeast"/>
        <w:jc w:val="both"/>
        <w:rPr>
          <w:rFonts w:ascii="Verdana" w:hAnsi="Verdana" w:cs="Arial"/>
          <w:sz w:val="18"/>
          <w:szCs w:val="18"/>
          <w:lang w:val="en-GB"/>
        </w:rPr>
      </w:pPr>
      <w:r w:rsidRPr="009A295C">
        <w:rPr>
          <w:rFonts w:ascii="Verdana" w:hAnsi="Verdana" w:cs="Arial"/>
          <w:sz w:val="18"/>
          <w:szCs w:val="18"/>
          <w:lang w:val="en-GB"/>
        </w:rPr>
        <w:t xml:space="preserve">The GPW Group’s EBITDA for the period from January to March 2026 amounted to PLN 77.9 million, representing an increase of 42.3% </w:t>
      </w:r>
      <w:r w:rsidR="005D3696" w:rsidRPr="009A295C">
        <w:rPr>
          <w:rFonts w:ascii="Verdana" w:hAnsi="Verdana" w:cs="Arial"/>
          <w:sz w:val="18"/>
          <w:szCs w:val="18"/>
          <w:lang w:val="en-GB"/>
        </w:rPr>
        <w:t>year on year</w:t>
      </w:r>
      <w:r w:rsidRPr="009A295C">
        <w:rPr>
          <w:rFonts w:ascii="Verdana" w:hAnsi="Verdana" w:cs="Arial"/>
          <w:sz w:val="18"/>
          <w:szCs w:val="18"/>
          <w:lang w:val="en-GB"/>
        </w:rPr>
        <w:t xml:space="preserve">. The EBITDA margin reached 46.1%, representing a year-on-year increase of 4.8 percentage points. Net profit attributable to shareholders of the parent </w:t>
      </w:r>
      <w:r w:rsidR="005D3696" w:rsidRPr="009A295C">
        <w:rPr>
          <w:rFonts w:ascii="Verdana" w:hAnsi="Verdana" w:cs="Arial"/>
          <w:sz w:val="18"/>
          <w:szCs w:val="18"/>
          <w:lang w:val="en-GB"/>
        </w:rPr>
        <w:t>entity</w:t>
      </w:r>
      <w:r w:rsidRPr="009A295C">
        <w:rPr>
          <w:rFonts w:ascii="Verdana" w:hAnsi="Verdana" w:cs="Arial"/>
          <w:sz w:val="18"/>
          <w:szCs w:val="18"/>
          <w:lang w:val="en-GB"/>
        </w:rPr>
        <w:t xml:space="preserve"> amounted to PLN 69.6 million, up 37.8% </w:t>
      </w:r>
      <w:r w:rsidR="005D3696" w:rsidRPr="009A295C">
        <w:rPr>
          <w:rFonts w:ascii="Verdana" w:hAnsi="Verdana" w:cs="Arial"/>
          <w:sz w:val="18"/>
          <w:szCs w:val="18"/>
          <w:lang w:val="en-GB"/>
        </w:rPr>
        <w:t>year on</w:t>
      </w:r>
      <w:r w:rsidRPr="009A295C">
        <w:rPr>
          <w:rFonts w:ascii="Verdana" w:hAnsi="Verdana" w:cs="Arial"/>
          <w:sz w:val="18"/>
          <w:szCs w:val="18"/>
          <w:lang w:val="en-GB"/>
        </w:rPr>
        <w:t xml:space="preserve"> year.</w:t>
      </w:r>
    </w:p>
    <w:p w14:paraId="2404C752" w14:textId="77777777" w:rsidR="00D457D9" w:rsidRPr="009A295C" w:rsidRDefault="00D457D9" w:rsidP="00D457D9">
      <w:pPr>
        <w:shd w:val="clear" w:color="auto" w:fill="FFFFFF"/>
        <w:spacing w:after="0" w:line="22" w:lineRule="atLeast"/>
        <w:jc w:val="both"/>
        <w:rPr>
          <w:rFonts w:ascii="Verdana" w:hAnsi="Verdana" w:cs="Arial"/>
          <w:sz w:val="18"/>
          <w:szCs w:val="18"/>
          <w:lang w:val="en-GB"/>
        </w:rPr>
      </w:pPr>
    </w:p>
    <w:p w14:paraId="13A3DF30" w14:textId="0A140E32" w:rsidR="00A25DA9" w:rsidRPr="009A295C" w:rsidRDefault="00A25DA9" w:rsidP="00D457D9">
      <w:pPr>
        <w:spacing w:after="0" w:line="22" w:lineRule="atLeast"/>
        <w:jc w:val="both"/>
        <w:rPr>
          <w:rFonts w:ascii="Verdana" w:hAnsi="Verdana" w:cs="Arial"/>
          <w:sz w:val="18"/>
          <w:szCs w:val="18"/>
          <w:lang w:val="en-GB"/>
        </w:rPr>
      </w:pPr>
      <w:r w:rsidRPr="009A295C">
        <w:rPr>
          <w:rFonts w:ascii="Verdana" w:hAnsi="Verdana" w:cs="Arial"/>
          <w:sz w:val="18"/>
          <w:szCs w:val="18"/>
          <w:lang w:val="en-GB"/>
        </w:rPr>
        <w:t xml:space="preserve">Despite high volatility on global markets, the Polish market has remained highly active this year. Equity transactions with a total value of PLN 4.2 billion were </w:t>
      </w:r>
      <w:r w:rsidR="005D3696" w:rsidRPr="009A295C">
        <w:rPr>
          <w:rFonts w:ascii="Verdana" w:hAnsi="Verdana" w:cs="Arial"/>
          <w:sz w:val="18"/>
          <w:szCs w:val="18"/>
          <w:lang w:val="en-GB"/>
        </w:rPr>
        <w:t>completed</w:t>
      </w:r>
      <w:r w:rsidRPr="009A295C">
        <w:rPr>
          <w:rFonts w:ascii="Verdana" w:hAnsi="Verdana" w:cs="Arial"/>
          <w:sz w:val="18"/>
          <w:szCs w:val="18"/>
          <w:lang w:val="en-GB"/>
        </w:rPr>
        <w:t xml:space="preserve">. Six companies </w:t>
      </w:r>
      <w:r w:rsidR="005D3696" w:rsidRPr="009A295C">
        <w:rPr>
          <w:rFonts w:ascii="Verdana" w:hAnsi="Verdana" w:cs="Arial"/>
          <w:sz w:val="18"/>
          <w:szCs w:val="18"/>
          <w:lang w:val="en-GB"/>
        </w:rPr>
        <w:t>were newly listed</w:t>
      </w:r>
      <w:r w:rsidRPr="009A295C">
        <w:rPr>
          <w:rFonts w:ascii="Verdana" w:hAnsi="Verdana" w:cs="Arial"/>
          <w:sz w:val="18"/>
          <w:szCs w:val="18"/>
          <w:lang w:val="en-GB"/>
        </w:rPr>
        <w:t xml:space="preserve"> on the</w:t>
      </w:r>
      <w:r w:rsidR="005D3696" w:rsidRPr="009A295C">
        <w:rPr>
          <w:rFonts w:ascii="Verdana" w:hAnsi="Verdana" w:cs="Arial"/>
          <w:sz w:val="18"/>
          <w:szCs w:val="18"/>
          <w:lang w:val="en-GB"/>
        </w:rPr>
        <w:t xml:space="preserve"> </w:t>
      </w:r>
      <w:r w:rsidR="005D3696" w:rsidRPr="009A295C">
        <w:rPr>
          <w:rFonts w:ascii="Verdana" w:hAnsi="Verdana" w:cs="Arial"/>
          <w:sz w:val="18"/>
          <w:szCs w:val="18"/>
          <w:lang w:val="en-GB"/>
        </w:rPr>
        <w:t>GPW</w:t>
      </w:r>
      <w:r w:rsidRPr="009A295C">
        <w:rPr>
          <w:rFonts w:ascii="Verdana" w:hAnsi="Verdana" w:cs="Arial"/>
          <w:sz w:val="18"/>
          <w:szCs w:val="18"/>
          <w:lang w:val="en-GB"/>
        </w:rPr>
        <w:t xml:space="preserve"> Main Market </w:t>
      </w:r>
      <w:r w:rsidR="005D3696" w:rsidRPr="009A295C">
        <w:rPr>
          <w:rFonts w:ascii="Verdana" w:hAnsi="Verdana" w:cs="Arial"/>
          <w:sz w:val="18"/>
          <w:szCs w:val="18"/>
          <w:lang w:val="en-GB"/>
        </w:rPr>
        <w:t>in 2026</w:t>
      </w:r>
      <w:r w:rsidRPr="009A295C">
        <w:rPr>
          <w:rFonts w:ascii="Verdana" w:hAnsi="Verdana" w:cs="Arial"/>
          <w:sz w:val="18"/>
          <w:szCs w:val="18"/>
          <w:lang w:val="en-GB"/>
        </w:rPr>
        <w:t xml:space="preserve">, including two </w:t>
      </w:r>
      <w:r w:rsidR="005D3696" w:rsidRPr="009A295C">
        <w:rPr>
          <w:rFonts w:ascii="Verdana" w:hAnsi="Verdana" w:cs="Arial"/>
          <w:sz w:val="18"/>
          <w:szCs w:val="18"/>
          <w:lang w:val="en-GB"/>
        </w:rPr>
        <w:t>companies</w:t>
      </w:r>
      <w:r w:rsidRPr="009A295C">
        <w:rPr>
          <w:rFonts w:ascii="Verdana" w:hAnsi="Verdana" w:cs="Arial"/>
          <w:sz w:val="18"/>
          <w:szCs w:val="18"/>
          <w:lang w:val="en-GB"/>
        </w:rPr>
        <w:t xml:space="preserve"> formed through the spin-off of innovative segments. In addition, nine SPO</w:t>
      </w:r>
      <w:r w:rsidR="005D3696" w:rsidRPr="009A295C">
        <w:rPr>
          <w:rFonts w:ascii="Verdana" w:hAnsi="Verdana" w:cs="Arial"/>
          <w:sz w:val="18"/>
          <w:szCs w:val="18"/>
          <w:lang w:val="en-GB"/>
        </w:rPr>
        <w:t>s</w:t>
      </w:r>
      <w:r w:rsidRPr="009A295C">
        <w:rPr>
          <w:rFonts w:ascii="Verdana" w:hAnsi="Verdana" w:cs="Arial"/>
          <w:sz w:val="18"/>
          <w:szCs w:val="18"/>
          <w:lang w:val="en-GB"/>
        </w:rPr>
        <w:t xml:space="preserve"> and six ABB</w:t>
      </w:r>
      <w:r w:rsidR="005D3696" w:rsidRPr="009A295C">
        <w:rPr>
          <w:rFonts w:ascii="Verdana" w:hAnsi="Verdana" w:cs="Arial"/>
          <w:sz w:val="18"/>
          <w:szCs w:val="18"/>
          <w:lang w:val="en-GB"/>
        </w:rPr>
        <w:t xml:space="preserve">s </w:t>
      </w:r>
      <w:r w:rsidRPr="009A295C">
        <w:rPr>
          <w:rFonts w:ascii="Verdana" w:hAnsi="Verdana" w:cs="Arial"/>
          <w:sz w:val="18"/>
          <w:szCs w:val="18"/>
          <w:lang w:val="en-GB"/>
        </w:rPr>
        <w:t xml:space="preserve">were </w:t>
      </w:r>
      <w:r w:rsidR="0060586E" w:rsidRPr="009A295C">
        <w:rPr>
          <w:rFonts w:ascii="Verdana" w:hAnsi="Verdana" w:cs="Arial"/>
          <w:sz w:val="18"/>
          <w:szCs w:val="18"/>
          <w:lang w:val="en-GB"/>
        </w:rPr>
        <w:t>completed</w:t>
      </w:r>
      <w:r w:rsidRPr="009A295C">
        <w:rPr>
          <w:rFonts w:ascii="Verdana" w:hAnsi="Verdana" w:cs="Arial"/>
          <w:sz w:val="18"/>
          <w:szCs w:val="18"/>
          <w:lang w:val="en-GB"/>
        </w:rPr>
        <w:t xml:space="preserve">. Four companies </w:t>
      </w:r>
      <w:r w:rsidR="00B05D9C" w:rsidRPr="009A295C">
        <w:rPr>
          <w:rFonts w:ascii="Verdana" w:hAnsi="Verdana" w:cs="Arial"/>
          <w:sz w:val="18"/>
          <w:szCs w:val="18"/>
          <w:lang w:val="en-GB"/>
        </w:rPr>
        <w:t>were newly listed</w:t>
      </w:r>
      <w:r w:rsidRPr="009A295C">
        <w:rPr>
          <w:rFonts w:ascii="Verdana" w:hAnsi="Verdana" w:cs="Arial"/>
          <w:sz w:val="18"/>
          <w:szCs w:val="18"/>
          <w:lang w:val="en-GB"/>
        </w:rPr>
        <w:t xml:space="preserve"> on the NewConnect market, ten capital increase transactions</w:t>
      </w:r>
      <w:r w:rsidR="00B05D9C" w:rsidRPr="009A295C">
        <w:rPr>
          <w:rFonts w:ascii="Verdana" w:hAnsi="Verdana" w:cs="Arial"/>
          <w:sz w:val="18"/>
          <w:szCs w:val="18"/>
          <w:lang w:val="en-GB"/>
        </w:rPr>
        <w:t xml:space="preserve"> </w:t>
      </w:r>
      <w:r w:rsidR="00B05D9C" w:rsidRPr="009A295C">
        <w:rPr>
          <w:rFonts w:ascii="Verdana" w:hAnsi="Verdana" w:cs="Arial"/>
          <w:sz w:val="18"/>
          <w:szCs w:val="18"/>
          <w:lang w:val="en-GB"/>
        </w:rPr>
        <w:t>were completed</w:t>
      </w:r>
      <w:r w:rsidR="00B05D9C" w:rsidRPr="009A295C">
        <w:rPr>
          <w:rFonts w:ascii="Verdana" w:hAnsi="Verdana" w:cs="Arial"/>
          <w:sz w:val="18"/>
          <w:szCs w:val="18"/>
          <w:lang w:val="en-GB"/>
        </w:rPr>
        <w:t>,</w:t>
      </w:r>
      <w:r w:rsidRPr="009A295C">
        <w:rPr>
          <w:rFonts w:ascii="Verdana" w:hAnsi="Verdana" w:cs="Arial"/>
          <w:sz w:val="18"/>
          <w:szCs w:val="18"/>
          <w:lang w:val="en-GB"/>
        </w:rPr>
        <w:t xml:space="preserve"> </w:t>
      </w:r>
      <w:r w:rsidR="00B05D9C" w:rsidRPr="009A295C">
        <w:rPr>
          <w:rFonts w:ascii="Verdana" w:hAnsi="Verdana" w:cs="Arial"/>
          <w:sz w:val="18"/>
          <w:szCs w:val="18"/>
          <w:lang w:val="en-GB"/>
        </w:rPr>
        <w:t>as well as</w:t>
      </w:r>
      <w:r w:rsidRPr="009A295C">
        <w:rPr>
          <w:rFonts w:ascii="Verdana" w:hAnsi="Verdana" w:cs="Arial"/>
          <w:sz w:val="18"/>
          <w:szCs w:val="18"/>
          <w:lang w:val="en-GB"/>
        </w:rPr>
        <w:t xml:space="preserve"> four ABB transactions, with a total value of PLN 130 million.</w:t>
      </w:r>
    </w:p>
    <w:p w14:paraId="71FF4361" w14:textId="77777777" w:rsidR="00D457D9" w:rsidRPr="009A295C" w:rsidRDefault="00D457D9" w:rsidP="00D457D9">
      <w:pPr>
        <w:spacing w:after="0" w:line="22" w:lineRule="atLeast"/>
        <w:jc w:val="both"/>
        <w:rPr>
          <w:rFonts w:ascii="Verdana" w:hAnsi="Verdana" w:cs="Arial"/>
          <w:sz w:val="18"/>
          <w:szCs w:val="18"/>
          <w:lang w:val="en-GB"/>
        </w:rPr>
      </w:pPr>
    </w:p>
    <w:p w14:paraId="31D71F0D" w14:textId="6A2C8671" w:rsidR="00A25DA9" w:rsidRPr="009A295C" w:rsidRDefault="00A25DA9" w:rsidP="00D457D9">
      <w:pPr>
        <w:spacing w:after="0" w:line="22" w:lineRule="atLeast"/>
        <w:jc w:val="both"/>
        <w:rPr>
          <w:rFonts w:ascii="Verdana" w:hAnsi="Verdana" w:cs="Arial"/>
          <w:sz w:val="18"/>
          <w:szCs w:val="18"/>
          <w:lang w:val="en-GB"/>
        </w:rPr>
      </w:pPr>
      <w:r w:rsidRPr="009A295C">
        <w:rPr>
          <w:rFonts w:ascii="Verdana" w:hAnsi="Verdana" w:cs="Arial"/>
          <w:sz w:val="18"/>
          <w:szCs w:val="18"/>
          <w:lang w:val="en-GB"/>
        </w:rPr>
        <w:t xml:space="preserve">The first months of </w:t>
      </w:r>
      <w:r w:rsidR="00B05D9C" w:rsidRPr="009A295C">
        <w:rPr>
          <w:rFonts w:ascii="Verdana" w:hAnsi="Verdana" w:cs="Arial"/>
          <w:sz w:val="18"/>
          <w:szCs w:val="18"/>
          <w:lang w:val="en-GB"/>
        </w:rPr>
        <w:t>2026</w:t>
      </w:r>
      <w:r w:rsidRPr="009A295C">
        <w:rPr>
          <w:rFonts w:ascii="Verdana" w:hAnsi="Verdana" w:cs="Arial"/>
          <w:sz w:val="18"/>
          <w:szCs w:val="18"/>
          <w:lang w:val="en-GB"/>
        </w:rPr>
        <w:t xml:space="preserve"> saw high activity on the Catalyst market</w:t>
      </w:r>
      <w:r w:rsidR="00B05D9C" w:rsidRPr="009A295C">
        <w:rPr>
          <w:rFonts w:ascii="Verdana" w:hAnsi="Verdana" w:cs="Arial"/>
          <w:sz w:val="18"/>
          <w:szCs w:val="18"/>
          <w:lang w:val="en-GB"/>
        </w:rPr>
        <w:t xml:space="preserve"> as well</w:t>
      </w:r>
      <w:r w:rsidRPr="009A295C">
        <w:rPr>
          <w:rFonts w:ascii="Verdana" w:hAnsi="Verdana" w:cs="Arial"/>
          <w:sz w:val="18"/>
          <w:szCs w:val="18"/>
          <w:lang w:val="en-GB"/>
        </w:rPr>
        <w:t xml:space="preserve">. The value of bonds </w:t>
      </w:r>
      <w:r w:rsidR="00B05D9C" w:rsidRPr="009A295C">
        <w:rPr>
          <w:rFonts w:ascii="Verdana" w:hAnsi="Verdana" w:cs="Arial"/>
          <w:sz w:val="18"/>
          <w:szCs w:val="18"/>
          <w:lang w:val="en-GB"/>
        </w:rPr>
        <w:t>introduced on NewConnect</w:t>
      </w:r>
      <w:r w:rsidRPr="009A295C">
        <w:rPr>
          <w:rFonts w:ascii="Verdana" w:hAnsi="Verdana" w:cs="Arial"/>
          <w:sz w:val="18"/>
          <w:szCs w:val="18"/>
          <w:lang w:val="en-GB"/>
        </w:rPr>
        <w:t xml:space="preserve"> amounted to PLN 11.8 billion. </w:t>
      </w:r>
      <w:r w:rsidR="00B05D9C" w:rsidRPr="009A295C">
        <w:rPr>
          <w:rFonts w:ascii="Verdana" w:hAnsi="Verdana" w:cs="Arial"/>
          <w:sz w:val="18"/>
          <w:szCs w:val="18"/>
          <w:lang w:val="en-GB"/>
        </w:rPr>
        <w:t>The</w:t>
      </w:r>
      <w:r w:rsidRPr="009A295C">
        <w:rPr>
          <w:rFonts w:ascii="Verdana" w:hAnsi="Verdana" w:cs="Arial"/>
          <w:sz w:val="18"/>
          <w:szCs w:val="18"/>
          <w:lang w:val="en-GB"/>
        </w:rPr>
        <w:t xml:space="preserve"> largest corporate issues </w:t>
      </w:r>
      <w:r w:rsidR="00B05D9C" w:rsidRPr="009A295C">
        <w:rPr>
          <w:rFonts w:ascii="Verdana" w:hAnsi="Verdana" w:cs="Arial"/>
          <w:sz w:val="18"/>
          <w:szCs w:val="18"/>
          <w:lang w:val="en-GB"/>
        </w:rPr>
        <w:t>included</w:t>
      </w:r>
      <w:r w:rsidRPr="009A295C">
        <w:rPr>
          <w:rFonts w:ascii="Verdana" w:hAnsi="Verdana" w:cs="Arial"/>
          <w:sz w:val="18"/>
          <w:szCs w:val="18"/>
          <w:lang w:val="en-GB"/>
        </w:rPr>
        <w:t xml:space="preserve"> bonds issued by Orlen worth PLN 2 billion, KGHM worth PLN 1.6 billion, and Pepco and Kruk</w:t>
      </w:r>
      <w:r w:rsidR="00B05D9C" w:rsidRPr="009A295C">
        <w:rPr>
          <w:rFonts w:ascii="Verdana" w:hAnsi="Verdana" w:cs="Arial"/>
          <w:sz w:val="18"/>
          <w:szCs w:val="18"/>
          <w:lang w:val="en-GB"/>
        </w:rPr>
        <w:t>,</w:t>
      </w:r>
      <w:r w:rsidRPr="009A295C">
        <w:rPr>
          <w:rFonts w:ascii="Verdana" w:hAnsi="Verdana" w:cs="Arial"/>
          <w:sz w:val="18"/>
          <w:szCs w:val="18"/>
          <w:lang w:val="en-GB"/>
        </w:rPr>
        <w:t xml:space="preserve"> worth PLN 600 million</w:t>
      </w:r>
      <w:r w:rsidR="002C4DCA" w:rsidRPr="009A295C">
        <w:rPr>
          <w:rFonts w:ascii="Verdana" w:hAnsi="Verdana" w:cs="Arial"/>
          <w:sz w:val="18"/>
          <w:szCs w:val="18"/>
          <w:lang w:val="en-GB"/>
        </w:rPr>
        <w:t xml:space="preserve"> each</w:t>
      </w:r>
      <w:r w:rsidRPr="009A295C">
        <w:rPr>
          <w:rFonts w:ascii="Verdana" w:hAnsi="Verdana" w:cs="Arial"/>
          <w:sz w:val="18"/>
          <w:szCs w:val="18"/>
          <w:lang w:val="en-GB"/>
        </w:rPr>
        <w:t>.</w:t>
      </w:r>
    </w:p>
    <w:p w14:paraId="7D658013" w14:textId="77777777" w:rsidR="00D457D9" w:rsidRPr="009A295C" w:rsidRDefault="00D457D9" w:rsidP="00D457D9">
      <w:pPr>
        <w:spacing w:after="0" w:line="22" w:lineRule="atLeast"/>
        <w:jc w:val="both"/>
        <w:rPr>
          <w:rFonts w:ascii="Verdana" w:hAnsi="Verdana" w:cs="Arial"/>
          <w:sz w:val="18"/>
          <w:szCs w:val="18"/>
          <w:lang w:val="en-GB"/>
        </w:rPr>
      </w:pPr>
    </w:p>
    <w:p w14:paraId="4E88CEAF" w14:textId="43F99428" w:rsidR="00A25DA9" w:rsidRPr="009A295C" w:rsidRDefault="00B05D9C" w:rsidP="00D457D9">
      <w:pPr>
        <w:shd w:val="clear" w:color="auto" w:fill="FFFFFF"/>
        <w:spacing w:after="0" w:line="22" w:lineRule="atLeast"/>
        <w:jc w:val="both"/>
        <w:rPr>
          <w:rFonts w:ascii="Verdana" w:hAnsi="Verdana" w:cs="Arial"/>
          <w:sz w:val="18"/>
          <w:szCs w:val="18"/>
          <w:lang w:val="en-GB"/>
        </w:rPr>
      </w:pPr>
      <w:r w:rsidRPr="009A295C">
        <w:rPr>
          <w:rFonts w:ascii="Verdana" w:hAnsi="Verdana" w:cs="Arial"/>
          <w:sz w:val="18"/>
          <w:szCs w:val="18"/>
          <w:lang w:val="en-GB"/>
        </w:rPr>
        <w:t>T</w:t>
      </w:r>
      <w:r w:rsidR="00A25DA9" w:rsidRPr="009A295C">
        <w:rPr>
          <w:rFonts w:ascii="Verdana" w:hAnsi="Verdana" w:cs="Arial"/>
          <w:sz w:val="18"/>
          <w:szCs w:val="18"/>
          <w:lang w:val="en-GB"/>
        </w:rPr>
        <w:t xml:space="preserve">he total </w:t>
      </w:r>
      <w:r w:rsidRPr="009A295C">
        <w:rPr>
          <w:rFonts w:ascii="Verdana" w:hAnsi="Verdana" w:cs="Arial"/>
          <w:sz w:val="18"/>
          <w:szCs w:val="18"/>
          <w:lang w:val="en-GB"/>
        </w:rPr>
        <w:t>turnover in</w:t>
      </w:r>
      <w:r w:rsidR="00A25DA9" w:rsidRPr="009A295C">
        <w:rPr>
          <w:rFonts w:ascii="Verdana" w:hAnsi="Verdana" w:cs="Arial"/>
          <w:sz w:val="18"/>
          <w:szCs w:val="18"/>
          <w:lang w:val="en-GB"/>
        </w:rPr>
        <w:t xml:space="preserve"> ETFs, ETNs and ETCs reached a record high of PLN 1.95 billion</w:t>
      </w:r>
      <w:r w:rsidRPr="009A295C">
        <w:rPr>
          <w:rFonts w:ascii="Verdana" w:hAnsi="Verdana" w:cs="Arial"/>
          <w:sz w:val="18"/>
          <w:szCs w:val="18"/>
          <w:lang w:val="en-GB"/>
        </w:rPr>
        <w:t xml:space="preserve"> in Q1 2026</w:t>
      </w:r>
      <w:r w:rsidR="00A25DA9" w:rsidRPr="009A295C">
        <w:rPr>
          <w:rFonts w:ascii="Verdana" w:hAnsi="Verdana" w:cs="Arial"/>
          <w:sz w:val="18"/>
          <w:szCs w:val="18"/>
          <w:lang w:val="en-GB"/>
        </w:rPr>
        <w:t xml:space="preserve">, representing a year-on-year increase of 194.3%. Assets held in ETFs listed on GPW rose to PLN 2.8 billion, a 30% year-on-year increase. </w:t>
      </w:r>
      <w:r w:rsidRPr="009A295C">
        <w:rPr>
          <w:rFonts w:ascii="Verdana" w:hAnsi="Verdana" w:cs="Arial"/>
          <w:sz w:val="18"/>
          <w:szCs w:val="18"/>
          <w:lang w:val="en-GB"/>
        </w:rPr>
        <w:t>Thirteen</w:t>
      </w:r>
      <w:r w:rsidR="00A25DA9" w:rsidRPr="009A295C">
        <w:rPr>
          <w:rFonts w:ascii="Verdana" w:hAnsi="Verdana" w:cs="Arial"/>
          <w:sz w:val="18"/>
          <w:szCs w:val="18"/>
          <w:lang w:val="en-GB"/>
        </w:rPr>
        <w:t xml:space="preserve"> ETPs </w:t>
      </w:r>
      <w:r w:rsidR="002C4DCA" w:rsidRPr="009A295C">
        <w:rPr>
          <w:rFonts w:ascii="Verdana" w:hAnsi="Verdana" w:cs="Arial"/>
          <w:sz w:val="18"/>
          <w:szCs w:val="18"/>
          <w:lang w:val="en-GB"/>
        </w:rPr>
        <w:t>were</w:t>
      </w:r>
      <w:r w:rsidRPr="009A295C">
        <w:rPr>
          <w:rFonts w:ascii="Verdana" w:hAnsi="Verdana" w:cs="Arial"/>
          <w:sz w:val="18"/>
          <w:szCs w:val="18"/>
          <w:lang w:val="en-GB"/>
        </w:rPr>
        <w:t xml:space="preserve"> newly listed</w:t>
      </w:r>
      <w:r w:rsidR="00A25DA9" w:rsidRPr="009A295C">
        <w:rPr>
          <w:rFonts w:ascii="Verdana" w:hAnsi="Verdana" w:cs="Arial"/>
          <w:sz w:val="18"/>
          <w:szCs w:val="18"/>
          <w:lang w:val="en-GB"/>
        </w:rPr>
        <w:t xml:space="preserve"> on GPW</w:t>
      </w:r>
      <w:r w:rsidRPr="009A295C">
        <w:rPr>
          <w:rFonts w:ascii="Verdana" w:hAnsi="Verdana" w:cs="Arial"/>
          <w:sz w:val="18"/>
          <w:szCs w:val="18"/>
          <w:lang w:val="en-GB"/>
        </w:rPr>
        <w:t xml:space="preserve"> in 2026</w:t>
      </w:r>
      <w:r w:rsidR="00A25DA9" w:rsidRPr="009A295C">
        <w:rPr>
          <w:rFonts w:ascii="Verdana" w:hAnsi="Verdana" w:cs="Arial"/>
          <w:sz w:val="18"/>
          <w:szCs w:val="18"/>
          <w:lang w:val="en-GB"/>
        </w:rPr>
        <w:t xml:space="preserve">. The number of </w:t>
      </w:r>
      <w:r w:rsidRPr="009A295C">
        <w:rPr>
          <w:rFonts w:ascii="Verdana" w:hAnsi="Verdana" w:cs="Arial"/>
          <w:sz w:val="18"/>
          <w:szCs w:val="18"/>
          <w:lang w:val="en-GB"/>
        </w:rPr>
        <w:t>listed ETPs</w:t>
      </w:r>
      <w:r w:rsidR="00A25DA9" w:rsidRPr="009A295C">
        <w:rPr>
          <w:rFonts w:ascii="Verdana" w:hAnsi="Verdana" w:cs="Arial"/>
          <w:sz w:val="18"/>
          <w:szCs w:val="18"/>
          <w:lang w:val="en-GB"/>
        </w:rPr>
        <w:t xml:space="preserve"> </w:t>
      </w:r>
      <w:r w:rsidR="002C4DCA" w:rsidRPr="009A295C">
        <w:rPr>
          <w:rFonts w:ascii="Verdana" w:hAnsi="Verdana" w:cs="Arial"/>
          <w:sz w:val="18"/>
          <w:szCs w:val="18"/>
          <w:lang w:val="en-GB"/>
        </w:rPr>
        <w:t>rose</w:t>
      </w:r>
      <w:r w:rsidR="00A25DA9" w:rsidRPr="009A295C">
        <w:rPr>
          <w:rFonts w:ascii="Verdana" w:hAnsi="Verdana" w:cs="Arial"/>
          <w:sz w:val="18"/>
          <w:szCs w:val="18"/>
          <w:lang w:val="en-GB"/>
        </w:rPr>
        <w:t xml:space="preserve"> to 33. </w:t>
      </w:r>
      <w:r w:rsidRPr="009A295C">
        <w:rPr>
          <w:rFonts w:ascii="Verdana" w:hAnsi="Verdana" w:cs="Arial"/>
          <w:sz w:val="18"/>
          <w:szCs w:val="18"/>
          <w:lang w:val="en-GB"/>
        </w:rPr>
        <w:t>T</w:t>
      </w:r>
      <w:r w:rsidR="00A25DA9" w:rsidRPr="009A295C">
        <w:rPr>
          <w:rFonts w:ascii="Verdana" w:hAnsi="Verdana" w:cs="Arial"/>
          <w:sz w:val="18"/>
          <w:szCs w:val="18"/>
          <w:lang w:val="en-GB"/>
        </w:rPr>
        <w:t>he first ETF tracking Polish companies listed on the Warsaw Stock Exchange</w:t>
      </w:r>
      <w:r w:rsidRPr="009A295C">
        <w:rPr>
          <w:rFonts w:ascii="Verdana" w:hAnsi="Verdana" w:cs="Arial"/>
          <w:sz w:val="18"/>
          <w:szCs w:val="18"/>
          <w:lang w:val="en-GB"/>
        </w:rPr>
        <w:t>,</w:t>
      </w:r>
      <w:r w:rsidR="00A25DA9" w:rsidRPr="009A295C">
        <w:rPr>
          <w:rFonts w:ascii="Verdana" w:hAnsi="Verdana" w:cs="Arial"/>
          <w:sz w:val="18"/>
          <w:szCs w:val="18"/>
          <w:lang w:val="en-GB"/>
        </w:rPr>
        <w:t xml:space="preserve"> the WIG30TR ETF</w:t>
      </w:r>
      <w:r w:rsidRPr="009A295C">
        <w:rPr>
          <w:rFonts w:ascii="Verdana" w:hAnsi="Verdana" w:cs="Arial"/>
          <w:sz w:val="18"/>
          <w:szCs w:val="18"/>
          <w:lang w:val="en-GB"/>
        </w:rPr>
        <w:t>, was newly listed</w:t>
      </w:r>
      <w:r w:rsidR="00A25DA9" w:rsidRPr="009A295C">
        <w:rPr>
          <w:rFonts w:ascii="Verdana" w:hAnsi="Verdana" w:cs="Arial"/>
          <w:sz w:val="18"/>
          <w:szCs w:val="18"/>
          <w:lang w:val="en-GB"/>
        </w:rPr>
        <w:t xml:space="preserve"> on the stock exchanges in Zagreb and Ljubljana</w:t>
      </w:r>
      <w:r w:rsidRPr="009A295C">
        <w:rPr>
          <w:rFonts w:ascii="Verdana" w:hAnsi="Verdana" w:cs="Arial"/>
          <w:sz w:val="18"/>
          <w:szCs w:val="18"/>
          <w:lang w:val="en-GB"/>
        </w:rPr>
        <w:t xml:space="preserve"> in May 2026</w:t>
      </w:r>
      <w:r w:rsidR="00A25DA9" w:rsidRPr="009A295C">
        <w:rPr>
          <w:rFonts w:ascii="Verdana" w:hAnsi="Verdana" w:cs="Arial"/>
          <w:sz w:val="18"/>
          <w:szCs w:val="18"/>
          <w:lang w:val="en-GB"/>
        </w:rPr>
        <w:t>.</w:t>
      </w:r>
    </w:p>
    <w:p w14:paraId="2B1276F9" w14:textId="77777777" w:rsidR="00D457D9" w:rsidRPr="009A295C" w:rsidRDefault="00D457D9" w:rsidP="00D457D9">
      <w:pPr>
        <w:shd w:val="clear" w:color="auto" w:fill="FFFFFF"/>
        <w:spacing w:after="0" w:line="22" w:lineRule="atLeast"/>
        <w:jc w:val="both"/>
        <w:rPr>
          <w:rFonts w:ascii="Verdana" w:hAnsi="Verdana" w:cs="Arial"/>
          <w:sz w:val="18"/>
          <w:szCs w:val="18"/>
          <w:lang w:val="en-GB"/>
        </w:rPr>
      </w:pPr>
    </w:p>
    <w:p w14:paraId="709955B0" w14:textId="1826DF48" w:rsidR="00A25DA9" w:rsidRPr="009A295C" w:rsidRDefault="00A25DA9" w:rsidP="00D457D9">
      <w:pPr>
        <w:spacing w:after="0" w:line="22" w:lineRule="atLeast"/>
        <w:jc w:val="both"/>
        <w:rPr>
          <w:rFonts w:ascii="Verdana" w:hAnsi="Verdana" w:cs="Arial"/>
          <w:sz w:val="18"/>
          <w:szCs w:val="18"/>
          <w:lang w:val="en-GB"/>
        </w:rPr>
      </w:pPr>
      <w:r w:rsidRPr="009A295C">
        <w:rPr>
          <w:rFonts w:ascii="Verdana" w:hAnsi="Verdana" w:cs="Arial"/>
          <w:sz w:val="18"/>
          <w:szCs w:val="18"/>
          <w:lang w:val="en-GB"/>
        </w:rPr>
        <w:t>On 16 April 2026, the Warsaw Stock Exchange celebrated the 35</w:t>
      </w:r>
      <w:r w:rsidRPr="009A295C">
        <w:rPr>
          <w:rFonts w:ascii="Verdana" w:hAnsi="Verdana" w:cs="Arial"/>
          <w:sz w:val="18"/>
          <w:szCs w:val="18"/>
          <w:vertAlign w:val="superscript"/>
          <w:lang w:val="en-GB"/>
        </w:rPr>
        <w:t>th</w:t>
      </w:r>
      <w:r w:rsidR="00154983" w:rsidRPr="009A295C">
        <w:rPr>
          <w:rFonts w:ascii="Verdana" w:hAnsi="Verdana" w:cs="Arial"/>
          <w:sz w:val="18"/>
          <w:szCs w:val="18"/>
          <w:lang w:val="en-GB"/>
        </w:rPr>
        <w:t xml:space="preserve"> </w:t>
      </w:r>
      <w:r w:rsidRPr="009A295C">
        <w:rPr>
          <w:rFonts w:ascii="Verdana" w:hAnsi="Verdana" w:cs="Arial"/>
          <w:sz w:val="18"/>
          <w:szCs w:val="18"/>
          <w:lang w:val="en-GB"/>
        </w:rPr>
        <w:t xml:space="preserve">anniversary of its first trading session, under the slogan </w:t>
      </w:r>
      <w:r w:rsidR="00B05D9C" w:rsidRPr="009A295C">
        <w:rPr>
          <w:rFonts w:ascii="Verdana" w:hAnsi="Verdana" w:cs="Arial"/>
          <w:sz w:val="18"/>
          <w:szCs w:val="18"/>
          <w:lang w:val="en-GB"/>
        </w:rPr>
        <w:t>“</w:t>
      </w:r>
      <w:r w:rsidRPr="009A295C">
        <w:rPr>
          <w:rFonts w:ascii="Verdana" w:hAnsi="Verdana" w:cs="Arial"/>
          <w:sz w:val="18"/>
          <w:szCs w:val="18"/>
          <w:lang w:val="en-GB"/>
        </w:rPr>
        <w:t xml:space="preserve">From </w:t>
      </w:r>
      <w:r w:rsidR="00154983" w:rsidRPr="009A295C">
        <w:rPr>
          <w:rFonts w:ascii="Verdana" w:hAnsi="Verdana" w:cs="Arial"/>
          <w:sz w:val="18"/>
          <w:szCs w:val="18"/>
          <w:lang w:val="en-GB"/>
        </w:rPr>
        <w:t>T</w:t>
      </w:r>
      <w:r w:rsidRPr="009A295C">
        <w:rPr>
          <w:rFonts w:ascii="Verdana" w:hAnsi="Verdana" w:cs="Arial"/>
          <w:sz w:val="18"/>
          <w:szCs w:val="18"/>
          <w:lang w:val="en-GB"/>
        </w:rPr>
        <w:t xml:space="preserve">ransformation to </w:t>
      </w:r>
      <w:r w:rsidR="00154983" w:rsidRPr="009A295C">
        <w:rPr>
          <w:rFonts w:ascii="Verdana" w:hAnsi="Verdana" w:cs="Arial"/>
          <w:sz w:val="18"/>
          <w:szCs w:val="18"/>
          <w:lang w:val="en-GB"/>
        </w:rPr>
        <w:t>I</w:t>
      </w:r>
      <w:r w:rsidRPr="009A295C">
        <w:rPr>
          <w:rFonts w:ascii="Verdana" w:hAnsi="Verdana" w:cs="Arial"/>
          <w:sz w:val="18"/>
          <w:szCs w:val="18"/>
          <w:lang w:val="en-GB"/>
        </w:rPr>
        <w:t>nnovation</w:t>
      </w:r>
      <w:r w:rsidR="00B05D9C" w:rsidRPr="009A295C">
        <w:rPr>
          <w:rFonts w:ascii="Verdana" w:hAnsi="Verdana" w:cs="Arial"/>
          <w:sz w:val="18"/>
          <w:szCs w:val="18"/>
          <w:lang w:val="en-GB"/>
        </w:rPr>
        <w:t>”</w:t>
      </w:r>
      <w:r w:rsidRPr="009A295C">
        <w:rPr>
          <w:rFonts w:ascii="Verdana" w:hAnsi="Verdana" w:cs="Arial"/>
          <w:sz w:val="18"/>
          <w:szCs w:val="18"/>
          <w:lang w:val="en-GB"/>
        </w:rPr>
        <w:t xml:space="preserve">. A celebration was held </w:t>
      </w:r>
      <w:r w:rsidR="00B05D9C" w:rsidRPr="009A295C">
        <w:rPr>
          <w:rFonts w:ascii="Verdana" w:hAnsi="Verdana" w:cs="Arial"/>
          <w:sz w:val="18"/>
          <w:szCs w:val="18"/>
          <w:lang w:val="en-GB"/>
        </w:rPr>
        <w:t>o</w:t>
      </w:r>
      <w:r w:rsidRPr="009A295C">
        <w:rPr>
          <w:rFonts w:ascii="Verdana" w:hAnsi="Verdana" w:cs="Arial"/>
          <w:sz w:val="18"/>
          <w:szCs w:val="18"/>
          <w:lang w:val="en-GB"/>
        </w:rPr>
        <w:t xml:space="preserve">n the Trading </w:t>
      </w:r>
      <w:r w:rsidR="00B05D9C" w:rsidRPr="009A295C">
        <w:rPr>
          <w:rFonts w:ascii="Verdana" w:hAnsi="Verdana" w:cs="Arial"/>
          <w:sz w:val="18"/>
          <w:szCs w:val="18"/>
          <w:lang w:val="en-GB"/>
        </w:rPr>
        <w:t xml:space="preserve">Floor </w:t>
      </w:r>
      <w:r w:rsidRPr="009A295C">
        <w:rPr>
          <w:rFonts w:ascii="Verdana" w:hAnsi="Verdana" w:cs="Arial"/>
          <w:sz w:val="18"/>
          <w:szCs w:val="18"/>
          <w:lang w:val="en-GB"/>
        </w:rPr>
        <w:t xml:space="preserve">as a symbolic summary of the development of the Polish capital market – from the political transformation of the early 1990s to the current innovation-driven era. The anniversary was inaugurated by the ceremonial ringing of the stock exchange bell by the first President of GPW, Dr Wiesław Rozłucki, together with the current </w:t>
      </w:r>
      <w:r w:rsidR="00B05D9C" w:rsidRPr="009A295C">
        <w:rPr>
          <w:rFonts w:ascii="Verdana" w:hAnsi="Verdana" w:cs="Arial"/>
          <w:sz w:val="18"/>
          <w:szCs w:val="18"/>
          <w:lang w:val="en-GB"/>
        </w:rPr>
        <w:t>President</w:t>
      </w:r>
      <w:r w:rsidRPr="009A295C">
        <w:rPr>
          <w:rFonts w:ascii="Verdana" w:hAnsi="Verdana" w:cs="Arial"/>
          <w:sz w:val="18"/>
          <w:szCs w:val="18"/>
          <w:lang w:val="en-GB"/>
        </w:rPr>
        <w:t xml:space="preserve"> of the Management Board, Tomasz Bardziłowski, emphasising institutional continuity and the importance of intergenerational cooperation. The celebrations pointed the way forward, in particular highlighting the need to mobilise greater domestic savings and further strengthen the market’s capacity to finance innovation. </w:t>
      </w:r>
      <w:r w:rsidR="008E562F" w:rsidRPr="009A295C">
        <w:rPr>
          <w:rFonts w:ascii="Verdana" w:hAnsi="Verdana" w:cs="Arial"/>
          <w:sz w:val="18"/>
          <w:szCs w:val="18"/>
          <w:lang w:val="en-GB"/>
        </w:rPr>
        <w:t>Even now</w:t>
      </w:r>
      <w:r w:rsidRPr="009A295C">
        <w:rPr>
          <w:rFonts w:ascii="Verdana" w:hAnsi="Verdana" w:cs="Arial"/>
          <w:sz w:val="18"/>
          <w:szCs w:val="18"/>
          <w:lang w:val="en-GB"/>
        </w:rPr>
        <w:t xml:space="preserve">, GPW supports key areas of the Polish economy’s </w:t>
      </w:r>
      <w:r w:rsidR="008E562F" w:rsidRPr="009A295C">
        <w:rPr>
          <w:rFonts w:ascii="Verdana" w:hAnsi="Verdana" w:cs="Arial"/>
          <w:sz w:val="18"/>
          <w:szCs w:val="18"/>
          <w:lang w:val="en-GB"/>
        </w:rPr>
        <w:t>growth</w:t>
      </w:r>
      <w:r w:rsidRPr="009A295C">
        <w:rPr>
          <w:rFonts w:ascii="Verdana" w:hAnsi="Verdana" w:cs="Arial"/>
          <w:sz w:val="18"/>
          <w:szCs w:val="18"/>
          <w:lang w:val="en-GB"/>
        </w:rPr>
        <w:t xml:space="preserve">, </w:t>
      </w:r>
      <w:r w:rsidR="008E562F" w:rsidRPr="009A295C">
        <w:rPr>
          <w:rFonts w:ascii="Verdana" w:hAnsi="Verdana" w:cs="Arial"/>
          <w:sz w:val="18"/>
          <w:szCs w:val="18"/>
          <w:lang w:val="en-GB"/>
        </w:rPr>
        <w:t>including</w:t>
      </w:r>
      <w:r w:rsidRPr="009A295C">
        <w:rPr>
          <w:rFonts w:ascii="Verdana" w:hAnsi="Verdana" w:cs="Arial"/>
          <w:sz w:val="18"/>
          <w:szCs w:val="18"/>
          <w:lang w:val="en-GB"/>
        </w:rPr>
        <w:t xml:space="preserve"> the space sector, biotechnology, quantum technologies, defence and dual-use </w:t>
      </w:r>
      <w:r w:rsidR="008E562F" w:rsidRPr="009A295C">
        <w:rPr>
          <w:rFonts w:ascii="Verdana" w:hAnsi="Verdana" w:cs="Arial"/>
          <w:sz w:val="18"/>
          <w:szCs w:val="18"/>
          <w:lang w:val="en-GB"/>
        </w:rPr>
        <w:t>projects</w:t>
      </w:r>
      <w:r w:rsidRPr="009A295C">
        <w:rPr>
          <w:rFonts w:ascii="Verdana" w:hAnsi="Verdana" w:cs="Arial"/>
          <w:sz w:val="18"/>
          <w:szCs w:val="18"/>
          <w:lang w:val="en-GB"/>
        </w:rPr>
        <w:t>, consolidating its role as a key venue for financing innovative companies and the long-term development of the economy.</w:t>
      </w:r>
    </w:p>
    <w:p w14:paraId="629B8C24" w14:textId="77777777" w:rsidR="000E1CCA" w:rsidRPr="009A295C" w:rsidRDefault="000E1CCA" w:rsidP="00D457D9">
      <w:pPr>
        <w:spacing w:after="0" w:line="22" w:lineRule="atLeast"/>
        <w:jc w:val="both"/>
        <w:rPr>
          <w:rFonts w:ascii="Verdana" w:hAnsi="Verdana" w:cs="Arial"/>
          <w:sz w:val="18"/>
          <w:szCs w:val="18"/>
          <w:lang w:val="en-GB"/>
        </w:rPr>
      </w:pPr>
    </w:p>
    <w:p w14:paraId="59302D0F" w14:textId="6492F690" w:rsidR="00A25DA9" w:rsidRPr="009A295C" w:rsidRDefault="00A25DA9" w:rsidP="000E1CCA">
      <w:pPr>
        <w:spacing w:after="0" w:line="22" w:lineRule="atLeast"/>
        <w:jc w:val="both"/>
        <w:rPr>
          <w:rFonts w:ascii="Verdana" w:hAnsi="Verdana" w:cs="Arial"/>
          <w:sz w:val="18"/>
          <w:szCs w:val="18"/>
          <w:lang w:val="en-GB"/>
        </w:rPr>
      </w:pPr>
      <w:r w:rsidRPr="009A295C">
        <w:rPr>
          <w:rFonts w:ascii="Verdana" w:hAnsi="Verdana" w:cs="Arial"/>
          <w:sz w:val="18"/>
          <w:szCs w:val="18"/>
          <w:lang w:val="en-GB"/>
        </w:rPr>
        <w:t>Intensive testing of the new trading system is currently underway at GPW and Exchange Members.</w:t>
      </w:r>
      <w:r w:rsidR="008E562F" w:rsidRPr="009A295C">
        <w:rPr>
          <w:rFonts w:ascii="Verdana" w:hAnsi="Verdana" w:cs="Arial"/>
          <w:sz w:val="18"/>
          <w:szCs w:val="18"/>
          <w:lang w:val="en-GB"/>
        </w:rPr>
        <w:t xml:space="preserve"> F</w:t>
      </w:r>
      <w:r w:rsidRPr="009A295C">
        <w:rPr>
          <w:rFonts w:ascii="Verdana" w:hAnsi="Verdana" w:cs="Arial"/>
          <w:sz w:val="18"/>
          <w:szCs w:val="18"/>
          <w:lang w:val="en-GB"/>
        </w:rPr>
        <w:t>unctional, security, integration, performance and capacity tests are being carried out, as well as migration and rollback tests</w:t>
      </w:r>
      <w:r w:rsidR="008E562F" w:rsidRPr="009A295C">
        <w:rPr>
          <w:rFonts w:ascii="Verdana" w:hAnsi="Verdana" w:cs="Arial"/>
          <w:sz w:val="18"/>
          <w:szCs w:val="18"/>
          <w:lang w:val="en-GB"/>
        </w:rPr>
        <w:t>, all i</w:t>
      </w:r>
      <w:r w:rsidR="008E562F" w:rsidRPr="009A295C">
        <w:rPr>
          <w:rFonts w:ascii="Verdana" w:hAnsi="Verdana" w:cs="Arial"/>
          <w:sz w:val="18"/>
          <w:szCs w:val="18"/>
          <w:lang w:val="en-GB"/>
        </w:rPr>
        <w:t>n accordance with the schedule</w:t>
      </w:r>
      <w:r w:rsidRPr="009A295C">
        <w:rPr>
          <w:rFonts w:ascii="Verdana" w:hAnsi="Verdana" w:cs="Arial"/>
          <w:sz w:val="18"/>
          <w:szCs w:val="18"/>
          <w:lang w:val="en-GB"/>
        </w:rPr>
        <w:t xml:space="preserve">. If the </w:t>
      </w:r>
      <w:r w:rsidR="008E562F" w:rsidRPr="009A295C">
        <w:rPr>
          <w:rFonts w:ascii="Verdana" w:hAnsi="Verdana" w:cs="Arial"/>
          <w:sz w:val="18"/>
          <w:szCs w:val="18"/>
          <w:lang w:val="en-GB"/>
        </w:rPr>
        <w:t>Dress Rehearsals</w:t>
      </w:r>
      <w:r w:rsidRPr="009A295C">
        <w:rPr>
          <w:rFonts w:ascii="Verdana" w:hAnsi="Verdana" w:cs="Arial"/>
          <w:sz w:val="18"/>
          <w:szCs w:val="18"/>
          <w:lang w:val="en-GB"/>
        </w:rPr>
        <w:t xml:space="preserve"> are successful and full readiness is achieved on the part of GPW and market participants, the system migration will take place on 4–5 July and the GPW WATS production launch is scheduled for 6 July.</w:t>
      </w:r>
    </w:p>
    <w:p w14:paraId="72E83BC5" w14:textId="77777777" w:rsidR="000E1CCA" w:rsidRPr="009A295C" w:rsidRDefault="000E1CCA" w:rsidP="000E1CCA">
      <w:pPr>
        <w:spacing w:after="0" w:line="22" w:lineRule="atLeast"/>
        <w:jc w:val="both"/>
        <w:rPr>
          <w:rFonts w:ascii="Verdana" w:hAnsi="Verdana" w:cs="Arial"/>
          <w:sz w:val="18"/>
          <w:szCs w:val="18"/>
          <w:lang w:val="en-GB"/>
        </w:rPr>
      </w:pPr>
    </w:p>
    <w:p w14:paraId="27E1C5F2" w14:textId="5A655223" w:rsidR="00A25DA9" w:rsidRPr="009A295C" w:rsidRDefault="008E562F" w:rsidP="00D457D9">
      <w:pPr>
        <w:shd w:val="clear" w:color="auto" w:fill="FFFFFF"/>
        <w:spacing w:after="0" w:line="22" w:lineRule="atLeast"/>
        <w:jc w:val="both"/>
        <w:rPr>
          <w:rFonts w:ascii="Verdana" w:hAnsi="Verdana" w:cs="Arial"/>
          <w:i/>
          <w:iCs/>
          <w:sz w:val="18"/>
          <w:szCs w:val="18"/>
          <w:lang w:val="en-GB"/>
        </w:rPr>
      </w:pPr>
      <w:r w:rsidRPr="009A295C">
        <w:rPr>
          <w:rFonts w:ascii="Verdana" w:hAnsi="Verdana" w:cs="Arial"/>
          <w:i/>
          <w:iCs/>
          <w:sz w:val="18"/>
          <w:szCs w:val="18"/>
          <w:lang w:val="en-GB"/>
        </w:rPr>
        <w:t>“</w:t>
      </w:r>
      <w:r w:rsidR="00A25DA9" w:rsidRPr="009A295C">
        <w:rPr>
          <w:rFonts w:ascii="Verdana" w:hAnsi="Verdana" w:cs="Arial"/>
          <w:i/>
          <w:iCs/>
          <w:sz w:val="18"/>
          <w:szCs w:val="18"/>
          <w:lang w:val="en-GB"/>
        </w:rPr>
        <w:t xml:space="preserve">For three and a half decades, GPW has supported the development of the Polish economy, bringing together capital and the ambitions of businesses </w:t>
      </w:r>
      <w:r w:rsidRPr="009A295C">
        <w:rPr>
          <w:rFonts w:ascii="Verdana" w:hAnsi="Verdana" w:cs="Arial"/>
          <w:i/>
          <w:iCs/>
          <w:sz w:val="18"/>
          <w:szCs w:val="18"/>
          <w:lang w:val="en-GB"/>
        </w:rPr>
        <w:t>while</w:t>
      </w:r>
      <w:r w:rsidR="00A25DA9" w:rsidRPr="009A295C">
        <w:rPr>
          <w:rFonts w:ascii="Verdana" w:hAnsi="Verdana" w:cs="Arial"/>
          <w:i/>
          <w:iCs/>
          <w:sz w:val="18"/>
          <w:szCs w:val="18"/>
          <w:lang w:val="en-GB"/>
        </w:rPr>
        <w:t xml:space="preserve"> consistently fostering a culture of investment. GPW has been a symbol of the success of Poland’s transformation; now we want it to be a symbol of the success of Polish innovation. In 2026, GPW entered a phase that I describe as strategic acceleration. Strong </w:t>
      </w:r>
      <w:r w:rsidR="00692E9E" w:rsidRPr="009A295C">
        <w:rPr>
          <w:rFonts w:ascii="Verdana" w:hAnsi="Verdana" w:cs="Arial"/>
          <w:i/>
          <w:iCs/>
          <w:sz w:val="18"/>
          <w:szCs w:val="18"/>
          <w:lang w:val="en-GB"/>
        </w:rPr>
        <w:t>turnover records</w:t>
      </w:r>
      <w:r w:rsidR="00A25DA9" w:rsidRPr="009A295C">
        <w:rPr>
          <w:rFonts w:ascii="Verdana" w:hAnsi="Verdana" w:cs="Arial"/>
          <w:i/>
          <w:iCs/>
          <w:sz w:val="18"/>
          <w:szCs w:val="18"/>
          <w:lang w:val="en-GB"/>
        </w:rPr>
        <w:t>, record-breaking indices, a revival in the IPO market and intensive work on building a portfolio of future issuers</w:t>
      </w:r>
      <w:r w:rsidR="00692E9E" w:rsidRPr="009A295C">
        <w:rPr>
          <w:rFonts w:ascii="Verdana" w:hAnsi="Verdana" w:cs="Arial"/>
          <w:i/>
          <w:iCs/>
          <w:sz w:val="18"/>
          <w:szCs w:val="18"/>
          <w:lang w:val="en-GB"/>
        </w:rPr>
        <w:t xml:space="preserve"> – it all</w:t>
      </w:r>
      <w:r w:rsidR="00A25DA9" w:rsidRPr="009A295C">
        <w:rPr>
          <w:rFonts w:ascii="Verdana" w:hAnsi="Verdana" w:cs="Arial"/>
          <w:i/>
          <w:iCs/>
          <w:sz w:val="18"/>
          <w:szCs w:val="18"/>
          <w:lang w:val="en-GB"/>
        </w:rPr>
        <w:t xml:space="preserve"> mean</w:t>
      </w:r>
      <w:r w:rsidR="00692E9E" w:rsidRPr="009A295C">
        <w:rPr>
          <w:rFonts w:ascii="Verdana" w:hAnsi="Verdana" w:cs="Arial"/>
          <w:i/>
          <w:iCs/>
          <w:sz w:val="18"/>
          <w:szCs w:val="18"/>
          <w:lang w:val="en-GB"/>
        </w:rPr>
        <w:t>s</w:t>
      </w:r>
      <w:r w:rsidR="00A25DA9" w:rsidRPr="009A295C">
        <w:rPr>
          <w:rFonts w:ascii="Verdana" w:hAnsi="Verdana" w:cs="Arial"/>
          <w:i/>
          <w:iCs/>
          <w:sz w:val="18"/>
          <w:szCs w:val="18"/>
          <w:lang w:val="en-GB"/>
        </w:rPr>
        <w:t xml:space="preserve"> that we are actively engaging in the dialogue on the future of the capital market and the challenges of the coming decades. However, the key area is technology and the implementation of the GPW WATS platform, which represents a fundamental modernisation of the Exchange’s technological core. The quality and security of this implementation are an absolute priority for us, as it will be a milestone in the further strengthening of the Polish capital market’s infrastructure,” </w:t>
      </w:r>
      <w:r w:rsidR="00412455" w:rsidRPr="009A295C">
        <w:rPr>
          <w:rFonts w:ascii="Verdana" w:hAnsi="Verdana" w:cs="Arial"/>
          <w:i/>
          <w:iCs/>
          <w:sz w:val="18"/>
          <w:szCs w:val="18"/>
          <w:lang w:val="en-GB"/>
        </w:rPr>
        <w:t>said</w:t>
      </w:r>
      <w:r w:rsidR="00A25DA9" w:rsidRPr="009A295C">
        <w:rPr>
          <w:rFonts w:ascii="Verdana" w:hAnsi="Verdana" w:cs="Arial"/>
          <w:i/>
          <w:iCs/>
          <w:sz w:val="18"/>
          <w:szCs w:val="18"/>
          <w:lang w:val="en-GB"/>
        </w:rPr>
        <w:t xml:space="preserve"> Tomasz Bardziłowski, President of the Management Board of the Warsaw Stock Exchange.</w:t>
      </w:r>
    </w:p>
    <w:p w14:paraId="45C064E6" w14:textId="77777777" w:rsidR="00D457D9" w:rsidRPr="009A295C" w:rsidRDefault="00D457D9" w:rsidP="00D457D9">
      <w:pPr>
        <w:shd w:val="clear" w:color="auto" w:fill="FFFFFF"/>
        <w:spacing w:after="0" w:line="22" w:lineRule="atLeast"/>
        <w:jc w:val="both"/>
        <w:rPr>
          <w:rFonts w:ascii="Verdana" w:hAnsi="Verdana" w:cs="Arial"/>
          <w:b/>
          <w:bCs/>
          <w:color w:val="5B9BD5" w:themeColor="accent1"/>
          <w:sz w:val="18"/>
          <w:szCs w:val="18"/>
          <w:lang w:val="en-GB"/>
        </w:rPr>
      </w:pPr>
    </w:p>
    <w:p w14:paraId="2251D523" w14:textId="77777777" w:rsidR="000E1CCA" w:rsidRPr="009A295C" w:rsidRDefault="000E1CCA" w:rsidP="00D457D9">
      <w:pPr>
        <w:shd w:val="clear" w:color="auto" w:fill="FFFFFF"/>
        <w:spacing w:after="0" w:line="22" w:lineRule="atLeast"/>
        <w:jc w:val="both"/>
        <w:rPr>
          <w:rFonts w:ascii="Verdana" w:hAnsi="Verdana" w:cs="Arial"/>
          <w:b/>
          <w:bCs/>
          <w:color w:val="5B9BD5" w:themeColor="accent1"/>
          <w:sz w:val="18"/>
          <w:szCs w:val="18"/>
          <w:lang w:val="en-GB"/>
        </w:rPr>
      </w:pPr>
    </w:p>
    <w:p w14:paraId="05E60009" w14:textId="230F42AD" w:rsidR="00A25DA9" w:rsidRPr="009A295C" w:rsidRDefault="00A25DA9" w:rsidP="00D457D9">
      <w:pPr>
        <w:spacing w:after="0" w:line="22" w:lineRule="atLeast"/>
        <w:jc w:val="both"/>
        <w:rPr>
          <w:rFonts w:ascii="Verdana" w:hAnsi="Verdana" w:cs="Arial"/>
          <w:sz w:val="18"/>
          <w:szCs w:val="18"/>
          <w:lang w:val="en-GB"/>
        </w:rPr>
      </w:pPr>
      <w:r w:rsidRPr="009A295C">
        <w:rPr>
          <w:rFonts w:ascii="Verdana" w:hAnsi="Verdana" w:cs="Arial"/>
          <w:sz w:val="18"/>
          <w:szCs w:val="18"/>
          <w:lang w:val="en-GB"/>
        </w:rPr>
        <w:t>Very strong cash flow</w:t>
      </w:r>
      <w:r w:rsidR="00412455" w:rsidRPr="009A295C">
        <w:rPr>
          <w:rFonts w:ascii="Verdana" w:hAnsi="Verdana" w:cs="Arial"/>
          <w:sz w:val="18"/>
          <w:szCs w:val="18"/>
          <w:lang w:val="en-GB"/>
        </w:rPr>
        <w:t>s</w:t>
      </w:r>
      <w:r w:rsidRPr="009A295C">
        <w:rPr>
          <w:rFonts w:ascii="Verdana" w:hAnsi="Verdana" w:cs="Arial"/>
          <w:sz w:val="18"/>
          <w:szCs w:val="18"/>
          <w:lang w:val="en-GB"/>
        </w:rPr>
        <w:t xml:space="preserve"> from operating activities in </w:t>
      </w:r>
      <w:r w:rsidR="00412455" w:rsidRPr="009A295C">
        <w:rPr>
          <w:rFonts w:ascii="Verdana" w:hAnsi="Verdana" w:cs="Arial"/>
          <w:sz w:val="18"/>
          <w:szCs w:val="18"/>
          <w:lang w:val="en-GB"/>
        </w:rPr>
        <w:t>Q1</w:t>
      </w:r>
      <w:r w:rsidRPr="009A295C">
        <w:rPr>
          <w:rFonts w:ascii="Verdana" w:hAnsi="Verdana" w:cs="Arial"/>
          <w:sz w:val="18"/>
          <w:szCs w:val="18"/>
          <w:lang w:val="en-GB"/>
        </w:rPr>
        <w:t xml:space="preserve"> 2026, which amounted to PLN 205.0 million for the twelve months ended March 2026, and </w:t>
      </w:r>
      <w:r w:rsidR="002F6569" w:rsidRPr="009A295C">
        <w:rPr>
          <w:rFonts w:ascii="Verdana" w:hAnsi="Verdana" w:cs="Arial"/>
          <w:sz w:val="18"/>
          <w:szCs w:val="18"/>
          <w:lang w:val="en-GB"/>
        </w:rPr>
        <w:t>liquid assets</w:t>
      </w:r>
      <w:r w:rsidRPr="009A295C">
        <w:rPr>
          <w:rFonts w:ascii="Verdana" w:hAnsi="Verdana" w:cs="Arial"/>
          <w:sz w:val="18"/>
          <w:szCs w:val="18"/>
          <w:lang w:val="en-GB"/>
        </w:rPr>
        <w:t xml:space="preserve"> of over PLN 474 million at the end of the quarter, provide a solid foundation for the implementation of investment plans and the payment of a high dividend. The GPW Management Board has recommended the payment of a record dividend </w:t>
      </w:r>
      <w:r w:rsidRPr="009A295C">
        <w:rPr>
          <w:rFonts w:ascii="Verdana" w:hAnsi="Verdana" w:cs="Arial"/>
          <w:sz w:val="18"/>
          <w:szCs w:val="18"/>
          <w:lang w:val="en-GB"/>
        </w:rPr>
        <w:lastRenderedPageBreak/>
        <w:t xml:space="preserve">per share of PLN 3.4. This represents a year-on-year increase of 7.9%, </w:t>
      </w:r>
      <w:r w:rsidR="00412455" w:rsidRPr="009A295C">
        <w:rPr>
          <w:rFonts w:ascii="Verdana" w:hAnsi="Verdana" w:cs="Arial"/>
          <w:sz w:val="18"/>
          <w:szCs w:val="18"/>
          <w:lang w:val="en-GB"/>
        </w:rPr>
        <w:t>with</w:t>
      </w:r>
      <w:r w:rsidRPr="009A295C">
        <w:rPr>
          <w:rFonts w:ascii="Verdana" w:hAnsi="Verdana" w:cs="Arial"/>
          <w:sz w:val="18"/>
          <w:szCs w:val="18"/>
          <w:lang w:val="en-GB"/>
        </w:rPr>
        <w:t xml:space="preserve"> a dividend yield of 4.4%.</w:t>
      </w:r>
      <w:r w:rsidR="00412455" w:rsidRPr="009A295C">
        <w:rPr>
          <w:rStyle w:val="FootnoteReference"/>
          <w:rFonts w:ascii="Verdana" w:hAnsi="Verdana" w:cs="Arial"/>
          <w:sz w:val="18"/>
          <w:szCs w:val="18"/>
          <w:lang w:val="en-GB"/>
        </w:rPr>
        <w:footnoteReference w:id="1"/>
      </w:r>
      <w:r w:rsidRPr="009A295C">
        <w:rPr>
          <w:rFonts w:ascii="Verdana" w:hAnsi="Verdana" w:cs="Arial"/>
          <w:sz w:val="18"/>
          <w:szCs w:val="18"/>
          <w:lang w:val="en-GB"/>
        </w:rPr>
        <w:t xml:space="preserve"> The total amount of the recommended dividend is over PLN 142.7 million, representing 72.2% of the consolidated net profit for 2025. The Management Board’s proposal has </w:t>
      </w:r>
      <w:r w:rsidR="00412455" w:rsidRPr="009A295C">
        <w:rPr>
          <w:rFonts w:ascii="Verdana" w:hAnsi="Verdana" w:cs="Arial"/>
          <w:sz w:val="18"/>
          <w:szCs w:val="18"/>
          <w:lang w:val="en-GB"/>
        </w:rPr>
        <w:t>received a positive opinion of</w:t>
      </w:r>
      <w:r w:rsidRPr="009A295C">
        <w:rPr>
          <w:rFonts w:ascii="Verdana" w:hAnsi="Verdana" w:cs="Arial"/>
          <w:sz w:val="18"/>
          <w:szCs w:val="18"/>
          <w:lang w:val="en-GB"/>
        </w:rPr>
        <w:t xml:space="preserve"> the Exchange Supervisory Board. The proposed dividend </w:t>
      </w:r>
      <w:r w:rsidR="00412455" w:rsidRPr="009A295C">
        <w:rPr>
          <w:rFonts w:ascii="Verdana" w:hAnsi="Verdana" w:cs="Arial"/>
          <w:sz w:val="18"/>
          <w:szCs w:val="18"/>
          <w:lang w:val="en-GB"/>
        </w:rPr>
        <w:t xml:space="preserve">record </w:t>
      </w:r>
      <w:r w:rsidRPr="009A295C">
        <w:rPr>
          <w:rFonts w:ascii="Verdana" w:hAnsi="Verdana" w:cs="Arial"/>
          <w:sz w:val="18"/>
          <w:szCs w:val="18"/>
          <w:lang w:val="en-GB"/>
        </w:rPr>
        <w:t xml:space="preserve">date is 23 July and the proposed payment date is 6 August </w:t>
      </w:r>
      <w:r w:rsidR="00412455" w:rsidRPr="009A295C">
        <w:rPr>
          <w:rFonts w:ascii="Verdana" w:hAnsi="Verdana" w:cs="Arial"/>
          <w:sz w:val="18"/>
          <w:szCs w:val="18"/>
          <w:lang w:val="en-GB"/>
        </w:rPr>
        <w:t>2026</w:t>
      </w:r>
      <w:r w:rsidRPr="009A295C">
        <w:rPr>
          <w:rFonts w:ascii="Verdana" w:hAnsi="Verdana" w:cs="Arial"/>
          <w:sz w:val="18"/>
          <w:szCs w:val="18"/>
          <w:lang w:val="en-GB"/>
        </w:rPr>
        <w:t>.</w:t>
      </w:r>
    </w:p>
    <w:p w14:paraId="14723883" w14:textId="77777777" w:rsidR="006B5000" w:rsidRPr="009A295C" w:rsidRDefault="006B5000" w:rsidP="00D457D9">
      <w:pPr>
        <w:spacing w:after="0" w:line="22" w:lineRule="atLeast"/>
        <w:jc w:val="both"/>
        <w:rPr>
          <w:rFonts w:ascii="Verdana" w:hAnsi="Verdana" w:cs="Arial"/>
          <w:sz w:val="18"/>
          <w:szCs w:val="18"/>
          <w:lang w:val="en-GB"/>
        </w:rPr>
      </w:pPr>
    </w:p>
    <w:p w14:paraId="5D2A8762" w14:textId="77777777" w:rsidR="00D457D9" w:rsidRPr="009A295C" w:rsidRDefault="00D457D9" w:rsidP="00D457D9">
      <w:pPr>
        <w:spacing w:after="0" w:line="22" w:lineRule="atLeast"/>
        <w:jc w:val="both"/>
        <w:rPr>
          <w:rFonts w:ascii="Verdana" w:hAnsi="Verdana" w:cs="Arial"/>
          <w:sz w:val="18"/>
          <w:szCs w:val="18"/>
          <w:lang w:val="en-GB"/>
        </w:rPr>
      </w:pPr>
    </w:p>
    <w:p w14:paraId="470C6CA9" w14:textId="457DE323" w:rsidR="00055BB4" w:rsidRPr="009A295C" w:rsidRDefault="00055BB4" w:rsidP="00D457D9">
      <w:pPr>
        <w:spacing w:after="0" w:line="22" w:lineRule="atLeast"/>
        <w:jc w:val="center"/>
        <w:rPr>
          <w:rFonts w:ascii="Verdana" w:hAnsi="Verdana" w:cs="Arial"/>
          <w:sz w:val="16"/>
          <w:szCs w:val="16"/>
          <w:lang w:val="en-GB"/>
        </w:rPr>
      </w:pPr>
      <w:r w:rsidRPr="009A295C">
        <w:rPr>
          <w:rFonts w:ascii="Verdana" w:hAnsi="Verdana" w:cs="Arial"/>
          <w:sz w:val="16"/>
          <w:szCs w:val="16"/>
          <w:lang w:val="en-GB"/>
        </w:rPr>
        <w:t>***</w:t>
      </w:r>
    </w:p>
    <w:p w14:paraId="682B15D3" w14:textId="77777777" w:rsidR="00296A81" w:rsidRPr="009A295C" w:rsidRDefault="00296A81" w:rsidP="00D457D9">
      <w:pPr>
        <w:spacing w:after="0" w:line="22" w:lineRule="atLeast"/>
        <w:jc w:val="both"/>
        <w:rPr>
          <w:rFonts w:ascii="Arial" w:eastAsia="Calibri" w:hAnsi="Arial" w:cs="Arial"/>
          <w:b/>
          <w:color w:val="666666"/>
          <w:sz w:val="14"/>
          <w:szCs w:val="16"/>
          <w:lang w:val="en-GB" w:eastAsia="pl-PL"/>
        </w:rPr>
      </w:pPr>
    </w:p>
    <w:p w14:paraId="0A5BFA9B" w14:textId="77777777" w:rsidR="00DB45AE" w:rsidRPr="009A295C" w:rsidRDefault="00DB45AE" w:rsidP="00D457D9">
      <w:pPr>
        <w:spacing w:after="0" w:line="22" w:lineRule="atLeast"/>
        <w:jc w:val="both"/>
        <w:rPr>
          <w:rFonts w:ascii="Arial" w:eastAsia="Calibri" w:hAnsi="Arial" w:cs="Arial"/>
          <w:b/>
          <w:color w:val="666666"/>
          <w:sz w:val="14"/>
          <w:szCs w:val="16"/>
          <w:lang w:val="en-GB" w:eastAsia="pl-PL"/>
        </w:rPr>
      </w:pPr>
    </w:p>
    <w:p w14:paraId="097A6E44" w14:textId="092E4830" w:rsidR="00DB2C86" w:rsidRPr="009A295C" w:rsidRDefault="00DB2C86" w:rsidP="00DB2C86">
      <w:pPr>
        <w:spacing w:after="0" w:line="22" w:lineRule="atLeast"/>
        <w:jc w:val="both"/>
        <w:rPr>
          <w:rFonts w:ascii="Arial" w:eastAsia="Calibri" w:hAnsi="Arial" w:cs="Arial"/>
          <w:bCs/>
          <w:color w:val="666666"/>
          <w:sz w:val="14"/>
          <w:szCs w:val="16"/>
          <w:lang w:val="en-GB" w:eastAsia="pl-PL"/>
        </w:rPr>
      </w:pPr>
      <w:r w:rsidRPr="009A295C">
        <w:rPr>
          <w:rFonts w:ascii="Arial" w:eastAsia="Calibri" w:hAnsi="Arial" w:cs="Arial"/>
          <w:b/>
          <w:color w:val="666666"/>
          <w:sz w:val="14"/>
          <w:szCs w:val="16"/>
          <w:lang w:val="en-GB" w:eastAsia="pl-PL"/>
        </w:rPr>
        <w:t xml:space="preserve">The Warsaw Stock Exchange Group (GPW Group) </w:t>
      </w:r>
      <w:r w:rsidRPr="009A295C">
        <w:rPr>
          <w:rFonts w:ascii="Arial" w:eastAsia="Calibri" w:hAnsi="Arial" w:cs="Arial"/>
          <w:bCs/>
          <w:color w:val="666666"/>
          <w:sz w:val="14"/>
          <w:szCs w:val="16"/>
          <w:lang w:val="en-GB" w:eastAsia="pl-PL"/>
        </w:rPr>
        <w:t>is a leading operator of capital and commodity market infrastructure in Central and Eastern Europe. The Group includes the Warsaw Stock Exchange (GPW), Towarowa Giełda Energii (TGE), GPW Benchmark,</w:t>
      </w:r>
      <w:r w:rsidRPr="009A295C">
        <w:rPr>
          <w:rFonts w:ascii="Arial" w:eastAsia="Calibri" w:hAnsi="Arial" w:cs="Arial"/>
          <w:bCs/>
          <w:color w:val="666666"/>
          <w:sz w:val="14"/>
          <w:szCs w:val="16"/>
          <w:lang w:val="en-GB" w:eastAsia="pl-PL"/>
        </w:rPr>
        <w:t xml:space="preserve"> and</w:t>
      </w:r>
      <w:r w:rsidRPr="009A295C">
        <w:rPr>
          <w:rFonts w:ascii="Arial" w:eastAsia="Calibri" w:hAnsi="Arial" w:cs="Arial"/>
          <w:bCs/>
          <w:color w:val="666666"/>
          <w:sz w:val="14"/>
          <w:szCs w:val="16"/>
          <w:lang w:val="en-GB" w:eastAsia="pl-PL"/>
        </w:rPr>
        <w:t xml:space="preserve"> BondSpot. GPW operates regulated markets for equities, debt, derivatives, commodities, as well as the alternative trading system NewConnect. GPW offers services including trading, clearing, market data, indices and benchmarks. GPW is a public company listed on the Warsaw Stock Exchange since 2010. Its mission is to support the development of the economy, ensure efficient and secure access to capital, and promote long-term investment. </w:t>
      </w:r>
      <w:r w:rsidR="003E4827" w:rsidRPr="009A295C">
        <w:rPr>
          <w:rFonts w:ascii="Arial" w:eastAsia="Calibri" w:hAnsi="Arial" w:cs="Arial"/>
          <w:bCs/>
          <w:color w:val="666666"/>
          <w:sz w:val="14"/>
          <w:szCs w:val="16"/>
          <w:lang w:val="en-GB" w:eastAsia="pl-PL"/>
        </w:rPr>
        <w:t>From January to April 2026</w:t>
      </w:r>
      <w:r w:rsidRPr="009A295C">
        <w:rPr>
          <w:rFonts w:ascii="Arial" w:eastAsia="Calibri" w:hAnsi="Arial" w:cs="Arial"/>
          <w:bCs/>
          <w:color w:val="666666"/>
          <w:sz w:val="14"/>
          <w:szCs w:val="16"/>
          <w:lang w:val="en-GB" w:eastAsia="pl-PL"/>
        </w:rPr>
        <w:t xml:space="preserve">, the </w:t>
      </w:r>
      <w:r w:rsidR="003E4827" w:rsidRPr="009A295C">
        <w:rPr>
          <w:rFonts w:ascii="Arial" w:eastAsia="Calibri" w:hAnsi="Arial" w:cs="Arial"/>
          <w:bCs/>
          <w:color w:val="666666"/>
          <w:sz w:val="14"/>
          <w:szCs w:val="16"/>
          <w:lang w:val="en-GB" w:eastAsia="pl-PL"/>
        </w:rPr>
        <w:t>WIG index</w:t>
      </w:r>
      <w:r w:rsidRPr="009A295C">
        <w:rPr>
          <w:rFonts w:ascii="Arial" w:eastAsia="Calibri" w:hAnsi="Arial" w:cs="Arial"/>
          <w:bCs/>
          <w:color w:val="666666"/>
          <w:sz w:val="14"/>
          <w:szCs w:val="16"/>
          <w:lang w:val="en-GB" w:eastAsia="pl-PL"/>
        </w:rPr>
        <w:t xml:space="preserve"> </w:t>
      </w:r>
      <w:r w:rsidR="003E4827" w:rsidRPr="009A295C">
        <w:rPr>
          <w:rFonts w:ascii="Arial" w:eastAsia="Calibri" w:hAnsi="Arial" w:cs="Arial"/>
          <w:bCs/>
          <w:color w:val="666666"/>
          <w:sz w:val="14"/>
          <w:szCs w:val="16"/>
          <w:lang w:val="en-GB" w:eastAsia="pl-PL"/>
        </w:rPr>
        <w:t>gained</w:t>
      </w:r>
      <w:r w:rsidRPr="009A295C">
        <w:rPr>
          <w:rFonts w:ascii="Arial" w:eastAsia="Calibri" w:hAnsi="Arial" w:cs="Arial"/>
          <w:bCs/>
          <w:color w:val="666666"/>
          <w:sz w:val="14"/>
          <w:szCs w:val="16"/>
          <w:lang w:val="en-GB" w:eastAsia="pl-PL"/>
        </w:rPr>
        <w:t xml:space="preserve"> </w:t>
      </w:r>
      <w:r w:rsidR="003E4827" w:rsidRPr="009A295C">
        <w:rPr>
          <w:rFonts w:ascii="Arial" w:eastAsia="Calibri" w:hAnsi="Arial" w:cs="Arial"/>
          <w:bCs/>
          <w:color w:val="666666"/>
          <w:sz w:val="14"/>
          <w:szCs w:val="16"/>
          <w:lang w:val="en-GB" w:eastAsia="pl-PL"/>
        </w:rPr>
        <w:t>9.6</w:t>
      </w:r>
      <w:r w:rsidRPr="009A295C">
        <w:rPr>
          <w:rFonts w:ascii="Arial" w:eastAsia="Calibri" w:hAnsi="Arial" w:cs="Arial"/>
          <w:bCs/>
          <w:color w:val="666666"/>
          <w:sz w:val="14"/>
          <w:szCs w:val="16"/>
          <w:lang w:val="en-GB" w:eastAsia="pl-PL"/>
        </w:rPr>
        <w:t>%</w:t>
      </w:r>
      <w:r w:rsidR="003E4827" w:rsidRPr="009A295C">
        <w:rPr>
          <w:rFonts w:ascii="Arial" w:eastAsia="Calibri" w:hAnsi="Arial" w:cs="Arial"/>
          <w:bCs/>
          <w:color w:val="666666"/>
          <w:sz w:val="14"/>
          <w:szCs w:val="16"/>
          <w:lang w:val="en-GB" w:eastAsia="pl-PL"/>
        </w:rPr>
        <w:t>,</w:t>
      </w:r>
      <w:r w:rsidR="003E4827" w:rsidRPr="009A295C">
        <w:rPr>
          <w:lang w:val="en-GB"/>
        </w:rPr>
        <w:t xml:space="preserve"> </w:t>
      </w:r>
      <w:r w:rsidR="003E4827" w:rsidRPr="009A295C">
        <w:rPr>
          <w:rFonts w:ascii="Arial" w:eastAsia="Calibri" w:hAnsi="Arial" w:cs="Arial"/>
          <w:bCs/>
          <w:color w:val="666666"/>
          <w:sz w:val="14"/>
          <w:szCs w:val="16"/>
          <w:lang w:val="en-GB" w:eastAsia="pl-PL"/>
        </w:rPr>
        <w:t>confirming investors’ continued interest in the domestic stock market</w:t>
      </w:r>
      <w:r w:rsidRPr="009A295C">
        <w:rPr>
          <w:rFonts w:ascii="Arial" w:eastAsia="Calibri" w:hAnsi="Arial" w:cs="Arial"/>
          <w:bCs/>
          <w:color w:val="666666"/>
          <w:sz w:val="14"/>
          <w:szCs w:val="16"/>
          <w:lang w:val="en-GB" w:eastAsia="pl-PL"/>
        </w:rPr>
        <w:t xml:space="preserve">. For more information, visit </w:t>
      </w:r>
      <w:hyperlink r:id="rId9" w:history="1">
        <w:r w:rsidRPr="009A295C">
          <w:rPr>
            <w:rStyle w:val="Hyperlink"/>
            <w:rFonts w:ascii="Arial" w:eastAsia="Calibri" w:hAnsi="Arial" w:cs="Arial"/>
            <w:bCs/>
            <w:sz w:val="14"/>
            <w:szCs w:val="16"/>
            <w:lang w:val="en-GB" w:eastAsia="pl-PL"/>
          </w:rPr>
          <w:t>www.gpw.pl</w:t>
        </w:r>
      </w:hyperlink>
      <w:r w:rsidRPr="009A295C">
        <w:rPr>
          <w:rFonts w:ascii="Arial" w:eastAsia="Calibri" w:hAnsi="Arial" w:cs="Arial"/>
          <w:bCs/>
          <w:color w:val="666666"/>
          <w:sz w:val="14"/>
          <w:szCs w:val="16"/>
          <w:lang w:val="en-GB" w:eastAsia="pl-PL"/>
        </w:rPr>
        <w:t xml:space="preserve">   </w:t>
      </w:r>
    </w:p>
    <w:p w14:paraId="6FBB31E1" w14:textId="4398AA52" w:rsidR="00DB2C86" w:rsidRPr="009A295C" w:rsidRDefault="00DB2C86" w:rsidP="00D457D9">
      <w:pPr>
        <w:spacing w:after="0" w:line="22" w:lineRule="atLeast"/>
        <w:jc w:val="both"/>
        <w:rPr>
          <w:rFonts w:ascii="Arial" w:eastAsia="Calibri" w:hAnsi="Arial" w:cs="Arial"/>
          <w:bCs/>
          <w:color w:val="666666"/>
          <w:sz w:val="14"/>
          <w:szCs w:val="16"/>
          <w:lang w:val="en-GB" w:eastAsia="pl-PL"/>
        </w:rPr>
        <w:sectPr w:rsidR="00DB2C86" w:rsidRPr="009A295C">
          <w:headerReference w:type="default" r:id="rId10"/>
          <w:footerReference w:type="default" r:id="rId11"/>
          <w:pgSz w:w="11906" w:h="16838"/>
          <w:pgMar w:top="1417" w:right="1417" w:bottom="1417" w:left="1417" w:header="708" w:footer="708" w:gutter="0"/>
          <w:cols w:space="708"/>
          <w:docGrid w:linePitch="360"/>
        </w:sectPr>
      </w:pPr>
    </w:p>
    <w:p w14:paraId="0C125AFB" w14:textId="77777777" w:rsidR="00B777B6" w:rsidRPr="009A295C" w:rsidRDefault="00B777B6" w:rsidP="00D457D9">
      <w:pPr>
        <w:tabs>
          <w:tab w:val="left" w:pos="2520"/>
        </w:tabs>
        <w:spacing w:after="0" w:line="22" w:lineRule="atLeast"/>
        <w:rPr>
          <w:rFonts w:ascii="Verdana" w:eastAsia="Times New Roman" w:hAnsi="Verdana" w:cs="Arial"/>
          <w:bCs/>
          <w:color w:val="000000" w:themeColor="text1"/>
          <w:sz w:val="18"/>
          <w:szCs w:val="18"/>
          <w:lang w:val="en-GB" w:eastAsia="pl-PL"/>
        </w:rPr>
        <w:sectPr w:rsidR="00B777B6" w:rsidRPr="009A295C" w:rsidSect="00B777B6">
          <w:headerReference w:type="default" r:id="rId12"/>
          <w:footerReference w:type="default" r:id="rId13"/>
          <w:type w:val="continuous"/>
          <w:pgSz w:w="11906" w:h="16838"/>
          <w:pgMar w:top="1417" w:right="1417" w:bottom="1417" w:left="1417" w:header="708" w:footer="708" w:gutter="0"/>
          <w:cols w:space="708"/>
          <w:docGrid w:linePitch="360"/>
        </w:sectPr>
      </w:pPr>
    </w:p>
    <w:p w14:paraId="37390894" w14:textId="77777777" w:rsidR="00B777B6" w:rsidRPr="009A295C" w:rsidRDefault="00B777B6" w:rsidP="00B777B6">
      <w:pPr>
        <w:tabs>
          <w:tab w:val="left" w:pos="2520"/>
        </w:tabs>
        <w:spacing w:after="0" w:line="264" w:lineRule="auto"/>
        <w:rPr>
          <w:rFonts w:ascii="Verdana" w:eastAsia="Times New Roman" w:hAnsi="Verdana" w:cs="Arial"/>
          <w:bCs/>
          <w:color w:val="000000" w:themeColor="text1"/>
          <w:sz w:val="18"/>
          <w:szCs w:val="18"/>
          <w:lang w:val="en-GB" w:eastAsia="pl-PL"/>
        </w:rPr>
      </w:pPr>
    </w:p>
    <w:p w14:paraId="220AF4DA" w14:textId="2DE993A1" w:rsidR="00B777B6" w:rsidRPr="009A295C" w:rsidRDefault="00200C68" w:rsidP="00B777B6">
      <w:pPr>
        <w:tabs>
          <w:tab w:val="left" w:pos="2520"/>
        </w:tabs>
        <w:spacing w:after="0"/>
        <w:rPr>
          <w:rFonts w:ascii="Verdana" w:eastAsia="Times New Roman" w:hAnsi="Verdana" w:cs="Arial"/>
          <w:b/>
          <w:color w:val="000000" w:themeColor="text1"/>
          <w:sz w:val="18"/>
          <w:szCs w:val="18"/>
          <w:lang w:val="en-GB" w:eastAsia="pl-PL"/>
        </w:rPr>
      </w:pPr>
      <w:r w:rsidRPr="009A295C">
        <w:rPr>
          <w:rFonts w:ascii="Verdana" w:eastAsia="Times New Roman" w:hAnsi="Verdana" w:cs="Arial"/>
          <w:b/>
          <w:color w:val="000000" w:themeColor="text1"/>
          <w:sz w:val="18"/>
          <w:szCs w:val="18"/>
          <w:lang w:val="en-GB" w:eastAsia="pl-PL"/>
        </w:rPr>
        <w:t>Media contact</w:t>
      </w:r>
      <w:r w:rsidR="00B777B6" w:rsidRPr="009A295C">
        <w:rPr>
          <w:rFonts w:ascii="Verdana" w:eastAsia="Times New Roman" w:hAnsi="Verdana" w:cs="Arial"/>
          <w:b/>
          <w:color w:val="000000" w:themeColor="text1"/>
          <w:sz w:val="18"/>
          <w:szCs w:val="18"/>
          <w:lang w:val="en-GB" w:eastAsia="pl-PL"/>
        </w:rPr>
        <w:t>:</w:t>
      </w:r>
    </w:p>
    <w:p w14:paraId="196015EE" w14:textId="77777777" w:rsidR="00B777B6" w:rsidRPr="009A295C" w:rsidRDefault="00B777B6" w:rsidP="00B777B6">
      <w:pPr>
        <w:tabs>
          <w:tab w:val="left" w:pos="2520"/>
        </w:tabs>
        <w:spacing w:after="0" w:line="264" w:lineRule="auto"/>
        <w:rPr>
          <w:rFonts w:ascii="Verdana" w:hAnsi="Verdana" w:cs="Arial"/>
          <w:color w:val="000000" w:themeColor="text1"/>
          <w:sz w:val="18"/>
          <w:szCs w:val="18"/>
          <w:lang w:val="en-GB"/>
        </w:rPr>
        <w:sectPr w:rsidR="00B777B6" w:rsidRPr="009A295C" w:rsidSect="00B777B6">
          <w:headerReference w:type="default" r:id="rId14"/>
          <w:footerReference w:type="default" r:id="rId15"/>
          <w:type w:val="continuous"/>
          <w:pgSz w:w="11906" w:h="16838"/>
          <w:pgMar w:top="1417" w:right="1417" w:bottom="1417" w:left="1417" w:header="708" w:footer="708" w:gutter="0"/>
          <w:cols w:space="708"/>
          <w:docGrid w:linePitch="360"/>
        </w:sectPr>
      </w:pPr>
    </w:p>
    <w:p w14:paraId="163610EC" w14:textId="77777777" w:rsidR="00B777B6" w:rsidRPr="009A295C" w:rsidRDefault="00B777B6" w:rsidP="00B777B6">
      <w:pPr>
        <w:tabs>
          <w:tab w:val="left" w:pos="2520"/>
        </w:tabs>
        <w:spacing w:after="0" w:line="264" w:lineRule="auto"/>
        <w:rPr>
          <w:rFonts w:ascii="Verdana" w:eastAsia="Times New Roman" w:hAnsi="Verdana" w:cs="Arial"/>
          <w:bCs/>
          <w:color w:val="000000" w:themeColor="text1"/>
          <w:sz w:val="18"/>
          <w:szCs w:val="18"/>
          <w:lang w:val="en-GB" w:eastAsia="pl-PL"/>
        </w:rPr>
      </w:pPr>
    </w:p>
    <w:p w14:paraId="3333EFD2" w14:textId="77777777" w:rsidR="00B777B6" w:rsidRPr="009A295C" w:rsidRDefault="00B777B6" w:rsidP="00B777B6">
      <w:pPr>
        <w:tabs>
          <w:tab w:val="left" w:pos="2520"/>
        </w:tabs>
        <w:spacing w:after="0" w:line="264" w:lineRule="auto"/>
        <w:rPr>
          <w:rFonts w:ascii="Verdana" w:eastAsia="Times New Roman" w:hAnsi="Verdana" w:cs="Arial"/>
          <w:bCs/>
          <w:color w:val="000000" w:themeColor="text1"/>
          <w:sz w:val="18"/>
          <w:szCs w:val="18"/>
          <w:lang w:val="en-GB" w:eastAsia="pl-PL"/>
        </w:rPr>
        <w:sectPr w:rsidR="00B777B6" w:rsidRPr="009A295C" w:rsidSect="00B777B6">
          <w:headerReference w:type="default" r:id="rId16"/>
          <w:footerReference w:type="default" r:id="rId17"/>
          <w:type w:val="continuous"/>
          <w:pgSz w:w="11906" w:h="16838"/>
          <w:pgMar w:top="1417" w:right="1417" w:bottom="1417" w:left="1417" w:header="708" w:footer="708" w:gutter="0"/>
          <w:cols w:space="708"/>
          <w:docGrid w:linePitch="360"/>
        </w:sectPr>
      </w:pPr>
    </w:p>
    <w:p w14:paraId="6A842D11" w14:textId="77777777" w:rsidR="00B777B6" w:rsidRPr="009A295C" w:rsidRDefault="00B777B6" w:rsidP="00B777B6">
      <w:pPr>
        <w:tabs>
          <w:tab w:val="left" w:pos="2520"/>
        </w:tabs>
        <w:spacing w:after="0" w:line="264" w:lineRule="auto"/>
        <w:rPr>
          <w:rFonts w:ascii="Verdana" w:eastAsia="Times New Roman" w:hAnsi="Verdana" w:cs="Arial"/>
          <w:bCs/>
          <w:color w:val="000000" w:themeColor="text1"/>
          <w:sz w:val="18"/>
          <w:szCs w:val="18"/>
          <w:lang w:val="en-GB" w:eastAsia="pl-PL"/>
        </w:rPr>
      </w:pPr>
      <w:r w:rsidRPr="009A295C">
        <w:rPr>
          <w:rFonts w:ascii="Verdana" w:eastAsia="Times New Roman" w:hAnsi="Verdana" w:cs="Arial"/>
          <w:bCs/>
          <w:color w:val="000000" w:themeColor="text1"/>
          <w:sz w:val="18"/>
          <w:szCs w:val="18"/>
          <w:lang w:val="en-GB" w:eastAsia="pl-PL"/>
        </w:rPr>
        <w:t>Szymon Korpanty</w:t>
      </w:r>
    </w:p>
    <w:p w14:paraId="68676FC5" w14:textId="77777777" w:rsidR="00971926" w:rsidRPr="009A295C" w:rsidRDefault="00971926" w:rsidP="00971926">
      <w:pPr>
        <w:tabs>
          <w:tab w:val="left" w:pos="2520"/>
        </w:tabs>
        <w:spacing w:after="0" w:line="264" w:lineRule="auto"/>
        <w:rPr>
          <w:rFonts w:ascii="Verdana" w:eastAsia="Times New Roman" w:hAnsi="Verdana" w:cs="Arial"/>
          <w:bCs/>
          <w:color w:val="000000" w:themeColor="text1"/>
          <w:sz w:val="18"/>
          <w:szCs w:val="18"/>
          <w:lang w:val="en-GB" w:eastAsia="pl-PL"/>
        </w:rPr>
      </w:pPr>
      <w:r w:rsidRPr="009A295C">
        <w:rPr>
          <w:rFonts w:ascii="Verdana" w:eastAsia="Times New Roman" w:hAnsi="Verdana" w:cs="Arial"/>
          <w:bCs/>
          <w:color w:val="000000" w:themeColor="text1"/>
          <w:sz w:val="18"/>
          <w:szCs w:val="18"/>
          <w:lang w:val="en-GB" w:eastAsia="pl-PL"/>
        </w:rPr>
        <w:t>GPW Communication &amp; Marketing</w:t>
      </w:r>
    </w:p>
    <w:p w14:paraId="08C5E933" w14:textId="6337DA31" w:rsidR="00B777B6" w:rsidRPr="009A295C" w:rsidRDefault="00971926" w:rsidP="00971926">
      <w:pPr>
        <w:tabs>
          <w:tab w:val="left" w:pos="2520"/>
        </w:tabs>
        <w:spacing w:after="0" w:line="264" w:lineRule="auto"/>
        <w:rPr>
          <w:rFonts w:ascii="Verdana" w:eastAsia="Times New Roman" w:hAnsi="Verdana" w:cs="Arial"/>
          <w:bCs/>
          <w:color w:val="000000" w:themeColor="text1"/>
          <w:sz w:val="18"/>
          <w:szCs w:val="18"/>
          <w:lang w:val="en-GB" w:eastAsia="pl-PL"/>
        </w:rPr>
      </w:pPr>
      <w:r w:rsidRPr="009A295C">
        <w:rPr>
          <w:rFonts w:ascii="Verdana" w:eastAsia="Times New Roman" w:hAnsi="Verdana" w:cs="Arial"/>
          <w:bCs/>
          <w:color w:val="000000" w:themeColor="text1"/>
          <w:sz w:val="18"/>
          <w:szCs w:val="18"/>
          <w:lang w:val="en-GB" w:eastAsia="pl-PL"/>
        </w:rPr>
        <w:t xml:space="preserve">mobile </w:t>
      </w:r>
      <w:r w:rsidR="00B777B6" w:rsidRPr="009A295C">
        <w:rPr>
          <w:rFonts w:ascii="Verdana" w:eastAsia="Times New Roman" w:hAnsi="Verdana" w:cs="Arial"/>
          <w:bCs/>
          <w:color w:val="000000" w:themeColor="text1"/>
          <w:sz w:val="18"/>
          <w:szCs w:val="18"/>
          <w:lang w:val="en-GB" w:eastAsia="pl-PL"/>
        </w:rPr>
        <w:t xml:space="preserve">+48 785 585 577 </w:t>
      </w:r>
    </w:p>
    <w:p w14:paraId="2B8FF2D0" w14:textId="77777777" w:rsidR="00B777B6" w:rsidRPr="009A295C" w:rsidRDefault="00B777B6" w:rsidP="00B777B6">
      <w:pPr>
        <w:tabs>
          <w:tab w:val="left" w:pos="2520"/>
        </w:tabs>
        <w:spacing w:after="0" w:line="264" w:lineRule="auto"/>
        <w:rPr>
          <w:rFonts w:ascii="Verdana" w:hAnsi="Verdana" w:cs="Arial"/>
          <w:color w:val="000000" w:themeColor="text1"/>
          <w:sz w:val="18"/>
          <w:szCs w:val="18"/>
          <w:lang w:val="en-GB"/>
        </w:rPr>
      </w:pPr>
      <w:r w:rsidRPr="009A295C">
        <w:rPr>
          <w:rFonts w:ascii="Verdana" w:eastAsia="Times New Roman" w:hAnsi="Verdana" w:cs="Arial"/>
          <w:bCs/>
          <w:color w:val="000000" w:themeColor="text1"/>
          <w:sz w:val="18"/>
          <w:szCs w:val="18"/>
          <w:lang w:val="en-GB" w:eastAsia="pl-PL"/>
        </w:rPr>
        <w:t xml:space="preserve">press@gpw.pl  </w:t>
      </w:r>
    </w:p>
    <w:p w14:paraId="4C62F29F" w14:textId="77777777" w:rsidR="00B777B6" w:rsidRPr="009A295C" w:rsidRDefault="00B777B6" w:rsidP="00B777B6">
      <w:pPr>
        <w:tabs>
          <w:tab w:val="left" w:pos="2520"/>
        </w:tabs>
        <w:spacing w:after="0" w:line="264" w:lineRule="auto"/>
        <w:rPr>
          <w:rFonts w:ascii="Verdana" w:hAnsi="Verdana" w:cs="Arial"/>
          <w:color w:val="000000" w:themeColor="text1"/>
          <w:sz w:val="18"/>
          <w:szCs w:val="18"/>
          <w:lang w:val="en-GB"/>
        </w:rPr>
      </w:pPr>
    </w:p>
    <w:p w14:paraId="0B02AE88" w14:textId="77777777" w:rsidR="00B777B6" w:rsidRPr="009A295C" w:rsidRDefault="00B777B6" w:rsidP="00B777B6">
      <w:pPr>
        <w:tabs>
          <w:tab w:val="left" w:pos="2520"/>
        </w:tabs>
        <w:spacing w:after="0" w:line="264" w:lineRule="auto"/>
        <w:rPr>
          <w:rFonts w:ascii="Verdana" w:hAnsi="Verdana" w:cs="Arial"/>
          <w:color w:val="000000" w:themeColor="text1"/>
          <w:sz w:val="18"/>
          <w:szCs w:val="18"/>
          <w:lang w:val="en-GB"/>
        </w:rPr>
      </w:pPr>
      <w:r w:rsidRPr="009A295C">
        <w:rPr>
          <w:rFonts w:ascii="Verdana" w:eastAsia="Times New Roman" w:hAnsi="Verdana" w:cs="Arial"/>
          <w:bCs/>
          <w:color w:val="000000" w:themeColor="text1"/>
          <w:sz w:val="18"/>
          <w:szCs w:val="18"/>
          <w:lang w:val="en-GB" w:eastAsia="pl-PL"/>
        </w:rPr>
        <w:t xml:space="preserve">Robert Stankiewicz </w:t>
      </w:r>
    </w:p>
    <w:p w14:paraId="6D35A055" w14:textId="7DC4D5FD" w:rsidR="00971926" w:rsidRPr="009A295C" w:rsidRDefault="00971926" w:rsidP="00971926">
      <w:pPr>
        <w:tabs>
          <w:tab w:val="left" w:pos="2520"/>
        </w:tabs>
        <w:spacing w:after="0" w:line="264" w:lineRule="auto"/>
        <w:rPr>
          <w:rFonts w:ascii="Verdana" w:eastAsia="Times New Roman" w:hAnsi="Verdana" w:cs="Arial"/>
          <w:bCs/>
          <w:color w:val="000000" w:themeColor="text1"/>
          <w:sz w:val="18"/>
          <w:szCs w:val="18"/>
          <w:lang w:val="en-GB" w:eastAsia="pl-PL"/>
        </w:rPr>
      </w:pPr>
      <w:r w:rsidRPr="009A295C">
        <w:rPr>
          <w:rFonts w:ascii="Verdana" w:eastAsia="Times New Roman" w:hAnsi="Verdana" w:cs="Arial"/>
          <w:bCs/>
          <w:color w:val="000000" w:themeColor="text1"/>
          <w:sz w:val="18"/>
          <w:szCs w:val="18"/>
          <w:lang w:val="en-GB" w:eastAsia="pl-PL"/>
        </w:rPr>
        <w:t>GPW Communication &amp; Marketing</w:t>
      </w:r>
      <w:r w:rsidRPr="009A295C">
        <w:rPr>
          <w:rFonts w:ascii="Verdana" w:eastAsia="Times New Roman" w:hAnsi="Verdana" w:cs="Arial"/>
          <w:bCs/>
          <w:color w:val="000000" w:themeColor="text1"/>
          <w:sz w:val="18"/>
          <w:szCs w:val="18"/>
          <w:lang w:val="en-GB" w:eastAsia="pl-PL"/>
        </w:rPr>
        <w:t xml:space="preserve"> Director</w:t>
      </w:r>
    </w:p>
    <w:p w14:paraId="52DAD954" w14:textId="3D54CCD2" w:rsidR="00B777B6" w:rsidRPr="009A295C" w:rsidRDefault="00971926" w:rsidP="00971926">
      <w:pPr>
        <w:tabs>
          <w:tab w:val="left" w:pos="2520"/>
        </w:tabs>
        <w:spacing w:after="0" w:line="264" w:lineRule="auto"/>
        <w:rPr>
          <w:rFonts w:ascii="Verdana" w:eastAsia="Times New Roman" w:hAnsi="Verdana" w:cs="Arial"/>
          <w:bCs/>
          <w:color w:val="000000" w:themeColor="text1"/>
          <w:sz w:val="18"/>
          <w:szCs w:val="18"/>
          <w:lang w:val="en-GB" w:eastAsia="pl-PL"/>
        </w:rPr>
      </w:pPr>
      <w:r w:rsidRPr="009A295C">
        <w:rPr>
          <w:rFonts w:ascii="Verdana" w:eastAsia="Times New Roman" w:hAnsi="Verdana" w:cs="Arial"/>
          <w:bCs/>
          <w:color w:val="000000" w:themeColor="text1"/>
          <w:sz w:val="18"/>
          <w:szCs w:val="18"/>
          <w:lang w:val="en-GB" w:eastAsia="pl-PL"/>
        </w:rPr>
        <w:t xml:space="preserve">mobile </w:t>
      </w:r>
      <w:r w:rsidR="00B777B6" w:rsidRPr="009A295C">
        <w:rPr>
          <w:rFonts w:ascii="Verdana" w:eastAsia="Times New Roman" w:hAnsi="Verdana" w:cs="Arial"/>
          <w:bCs/>
          <w:color w:val="000000" w:themeColor="text1"/>
          <w:sz w:val="18"/>
          <w:szCs w:val="18"/>
          <w:lang w:val="en-GB" w:eastAsia="pl-PL"/>
        </w:rPr>
        <w:t>+48 885 770 976</w:t>
      </w:r>
    </w:p>
    <w:p w14:paraId="30D05FA8" w14:textId="77777777" w:rsidR="00B777B6" w:rsidRPr="009A295C" w:rsidRDefault="00B777B6" w:rsidP="00B777B6">
      <w:pPr>
        <w:tabs>
          <w:tab w:val="left" w:pos="2520"/>
        </w:tabs>
        <w:spacing w:after="0" w:line="264" w:lineRule="auto"/>
        <w:rPr>
          <w:rStyle w:val="Hyperlink"/>
          <w:rFonts w:ascii="Verdana" w:hAnsi="Verdana" w:cs="Arial"/>
          <w:color w:val="000000" w:themeColor="text1"/>
          <w:sz w:val="18"/>
          <w:szCs w:val="18"/>
          <w:u w:val="none"/>
          <w:lang w:val="en-GB"/>
        </w:rPr>
      </w:pPr>
      <w:hyperlink r:id="rId18" w:history="1">
        <w:r w:rsidRPr="009A295C">
          <w:rPr>
            <w:rStyle w:val="Hyperlink"/>
            <w:rFonts w:ascii="Verdana" w:hAnsi="Verdana" w:cs="Arial"/>
            <w:color w:val="000000" w:themeColor="text1"/>
            <w:sz w:val="18"/>
            <w:szCs w:val="18"/>
            <w:u w:val="none"/>
            <w:lang w:val="en-GB"/>
          </w:rPr>
          <w:t>robert.stankiewicz@gpw.pl</w:t>
        </w:r>
      </w:hyperlink>
    </w:p>
    <w:p w14:paraId="44F283CD" w14:textId="77777777" w:rsidR="00B777B6" w:rsidRPr="009A295C" w:rsidRDefault="00B777B6" w:rsidP="00B777B6">
      <w:pPr>
        <w:tabs>
          <w:tab w:val="left" w:pos="2520"/>
        </w:tabs>
        <w:spacing w:after="0"/>
        <w:rPr>
          <w:rFonts w:ascii="Verdana" w:hAnsi="Verdana" w:cs="Arial"/>
          <w:color w:val="595959" w:themeColor="text1" w:themeTint="A6"/>
          <w:sz w:val="18"/>
          <w:szCs w:val="18"/>
          <w:lang w:val="en-GB"/>
        </w:rPr>
        <w:sectPr w:rsidR="00B777B6" w:rsidRPr="009A295C" w:rsidSect="00B777B6">
          <w:type w:val="continuous"/>
          <w:pgSz w:w="11906" w:h="16838"/>
          <w:pgMar w:top="1417" w:right="1417" w:bottom="1417" w:left="1417" w:header="708" w:footer="708" w:gutter="0"/>
          <w:cols w:num="2" w:sep="1" w:space="851" w:equalWidth="0">
            <w:col w:w="3402" w:space="851"/>
            <w:col w:w="4819"/>
          </w:cols>
          <w:docGrid w:linePitch="360"/>
        </w:sectPr>
      </w:pPr>
    </w:p>
    <w:p w14:paraId="26B72C29" w14:textId="77777777" w:rsidR="00B777B6" w:rsidRPr="009A295C" w:rsidRDefault="00B777B6" w:rsidP="00B777B6">
      <w:pPr>
        <w:tabs>
          <w:tab w:val="left" w:pos="2520"/>
        </w:tabs>
        <w:spacing w:after="0"/>
        <w:rPr>
          <w:rFonts w:ascii="Verdana" w:hAnsi="Verdana" w:cs="Arial"/>
          <w:color w:val="595959" w:themeColor="text1" w:themeTint="A6"/>
          <w:sz w:val="18"/>
          <w:szCs w:val="18"/>
          <w:lang w:val="en-GB"/>
        </w:rPr>
      </w:pPr>
    </w:p>
    <w:p w14:paraId="5C25EED2" w14:textId="77777777" w:rsidR="00B777B6" w:rsidRPr="009A295C" w:rsidRDefault="00B777B6" w:rsidP="00B777B6">
      <w:pPr>
        <w:tabs>
          <w:tab w:val="left" w:pos="2520"/>
        </w:tabs>
        <w:spacing w:after="0"/>
        <w:rPr>
          <w:rFonts w:ascii="Verdana" w:hAnsi="Verdana" w:cs="Arial"/>
          <w:color w:val="595959" w:themeColor="text1" w:themeTint="A6"/>
          <w:sz w:val="18"/>
          <w:szCs w:val="18"/>
          <w:lang w:val="en-GB"/>
        </w:rPr>
      </w:pPr>
    </w:p>
    <w:p w14:paraId="3647C488" w14:textId="77777777" w:rsidR="00B777B6" w:rsidRPr="009A295C" w:rsidRDefault="00B777B6" w:rsidP="00B777B6">
      <w:pPr>
        <w:jc w:val="both"/>
        <w:rPr>
          <w:rFonts w:ascii="Verdana" w:eastAsia="Times New Roman" w:hAnsi="Verdana" w:cs="Arial"/>
          <w:sz w:val="18"/>
          <w:szCs w:val="18"/>
          <w:lang w:val="en-GB" w:eastAsia="pl-PL"/>
        </w:rPr>
      </w:pPr>
    </w:p>
    <w:p w14:paraId="7A4B71DD" w14:textId="77777777" w:rsidR="00B777B6" w:rsidRPr="009A295C" w:rsidRDefault="00B777B6" w:rsidP="00B777B6">
      <w:pPr>
        <w:tabs>
          <w:tab w:val="left" w:pos="2520"/>
        </w:tabs>
        <w:spacing w:after="0"/>
        <w:rPr>
          <w:rFonts w:ascii="Verdana" w:hAnsi="Verdana" w:cs="Arial"/>
          <w:color w:val="595959" w:themeColor="text1" w:themeTint="A6"/>
          <w:sz w:val="18"/>
          <w:szCs w:val="18"/>
          <w:lang w:val="en-GB"/>
        </w:rPr>
      </w:pPr>
    </w:p>
    <w:p w14:paraId="44E3CF05" w14:textId="77777777" w:rsidR="0040532B" w:rsidRPr="009A295C" w:rsidRDefault="0040532B" w:rsidP="00B777B6">
      <w:pPr>
        <w:tabs>
          <w:tab w:val="left" w:pos="2520"/>
        </w:tabs>
        <w:spacing w:after="0"/>
        <w:rPr>
          <w:rFonts w:ascii="Verdana" w:hAnsi="Verdana" w:cs="Arial"/>
          <w:color w:val="595959" w:themeColor="text1" w:themeTint="A6"/>
          <w:sz w:val="18"/>
          <w:szCs w:val="18"/>
          <w:lang w:val="en-GB"/>
        </w:rPr>
      </w:pPr>
    </w:p>
    <w:sectPr w:rsidR="0040532B" w:rsidRPr="009A295C" w:rsidSect="00DB106D">
      <w:headerReference w:type="default" r:id="rId19"/>
      <w:footerReference w:type="default" r:id="rId2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870AC" w14:textId="77777777" w:rsidR="00BA196B" w:rsidRDefault="00BA196B" w:rsidP="00B84A59">
      <w:pPr>
        <w:spacing w:after="0" w:line="240" w:lineRule="auto"/>
      </w:pPr>
      <w:r>
        <w:separator/>
      </w:r>
    </w:p>
  </w:endnote>
  <w:endnote w:type="continuationSeparator" w:id="0">
    <w:p w14:paraId="1752658B" w14:textId="77777777" w:rsidR="00BA196B" w:rsidRDefault="00BA196B" w:rsidP="00B84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3797005"/>
      <w:docPartObj>
        <w:docPartGallery w:val="Page Numbers (Bottom of Page)"/>
        <w:docPartUnique/>
      </w:docPartObj>
    </w:sdtPr>
    <w:sdtContent>
      <w:p w14:paraId="54ADDF8D" w14:textId="77777777" w:rsidR="00247869" w:rsidRDefault="00247869">
        <w:pPr>
          <w:pStyle w:val="Footer"/>
          <w:jc w:val="right"/>
        </w:pPr>
        <w:r w:rsidRPr="002971F5">
          <w:rPr>
            <w:sz w:val="16"/>
            <w:szCs w:val="16"/>
          </w:rPr>
          <w:fldChar w:fldCharType="begin"/>
        </w:r>
        <w:r w:rsidRPr="002971F5">
          <w:rPr>
            <w:sz w:val="16"/>
            <w:szCs w:val="16"/>
          </w:rPr>
          <w:instrText>PAGE   \* MERGEFORMAT</w:instrText>
        </w:r>
        <w:r w:rsidRPr="002971F5">
          <w:rPr>
            <w:sz w:val="16"/>
            <w:szCs w:val="16"/>
          </w:rPr>
          <w:fldChar w:fldCharType="separate"/>
        </w:r>
        <w:r w:rsidR="009F7B68" w:rsidRPr="002971F5">
          <w:rPr>
            <w:noProof/>
            <w:sz w:val="16"/>
            <w:szCs w:val="16"/>
          </w:rPr>
          <w:t>5</w:t>
        </w:r>
        <w:r w:rsidRPr="002971F5">
          <w:rPr>
            <w:sz w:val="16"/>
            <w:szCs w:val="16"/>
          </w:rPr>
          <w:fldChar w:fldCharType="end"/>
        </w:r>
      </w:p>
    </w:sdtContent>
  </w:sdt>
  <w:p w14:paraId="6D7C29F8" w14:textId="77777777" w:rsidR="00753455" w:rsidRDefault="007534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883333"/>
      <w:docPartObj>
        <w:docPartGallery w:val="Page Numbers (Bottom of Page)"/>
        <w:docPartUnique/>
      </w:docPartObj>
    </w:sdtPr>
    <w:sdtContent>
      <w:p w14:paraId="6B898D97" w14:textId="77777777" w:rsidR="00B777B6" w:rsidRDefault="00B777B6">
        <w:pPr>
          <w:pStyle w:val="Footer"/>
          <w:jc w:val="right"/>
        </w:pPr>
        <w:r w:rsidRPr="002971F5">
          <w:rPr>
            <w:sz w:val="16"/>
            <w:szCs w:val="16"/>
          </w:rPr>
          <w:fldChar w:fldCharType="begin"/>
        </w:r>
        <w:r w:rsidRPr="002971F5">
          <w:rPr>
            <w:sz w:val="16"/>
            <w:szCs w:val="16"/>
          </w:rPr>
          <w:instrText>PAGE   \* MERGEFORMAT</w:instrText>
        </w:r>
        <w:r w:rsidRPr="002971F5">
          <w:rPr>
            <w:sz w:val="16"/>
            <w:szCs w:val="16"/>
          </w:rPr>
          <w:fldChar w:fldCharType="separate"/>
        </w:r>
        <w:r w:rsidRPr="002971F5">
          <w:rPr>
            <w:noProof/>
            <w:sz w:val="16"/>
            <w:szCs w:val="16"/>
          </w:rPr>
          <w:t>5</w:t>
        </w:r>
        <w:r w:rsidRPr="002971F5">
          <w:rPr>
            <w:sz w:val="16"/>
            <w:szCs w:val="16"/>
          </w:rPr>
          <w:fldChar w:fldCharType="end"/>
        </w:r>
      </w:p>
    </w:sdtContent>
  </w:sdt>
  <w:p w14:paraId="1709D125" w14:textId="77777777" w:rsidR="00B777B6" w:rsidRDefault="00B777B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864436"/>
      <w:docPartObj>
        <w:docPartGallery w:val="Page Numbers (Bottom of Page)"/>
        <w:docPartUnique/>
      </w:docPartObj>
    </w:sdtPr>
    <w:sdtEndPr>
      <w:rPr>
        <w:sz w:val="16"/>
        <w:szCs w:val="16"/>
      </w:rPr>
    </w:sdtEndPr>
    <w:sdtContent>
      <w:p w14:paraId="68FA3BA0" w14:textId="77777777" w:rsidR="00B777B6" w:rsidRPr="006A106C" w:rsidRDefault="00B777B6">
        <w:pPr>
          <w:pStyle w:val="Footer"/>
          <w:jc w:val="right"/>
          <w:rPr>
            <w:sz w:val="16"/>
            <w:szCs w:val="16"/>
          </w:rPr>
        </w:pPr>
        <w:r w:rsidRPr="006A106C">
          <w:rPr>
            <w:sz w:val="16"/>
            <w:szCs w:val="16"/>
          </w:rPr>
          <w:fldChar w:fldCharType="begin"/>
        </w:r>
        <w:r w:rsidRPr="006A106C">
          <w:rPr>
            <w:sz w:val="16"/>
            <w:szCs w:val="16"/>
          </w:rPr>
          <w:instrText>PAGE   \* MERGEFORMAT</w:instrText>
        </w:r>
        <w:r w:rsidRPr="006A106C">
          <w:rPr>
            <w:sz w:val="16"/>
            <w:szCs w:val="16"/>
          </w:rPr>
          <w:fldChar w:fldCharType="separate"/>
        </w:r>
        <w:r w:rsidRPr="006A106C">
          <w:rPr>
            <w:sz w:val="16"/>
            <w:szCs w:val="16"/>
          </w:rPr>
          <w:t>2</w:t>
        </w:r>
        <w:r w:rsidRPr="006A106C">
          <w:rPr>
            <w:sz w:val="16"/>
            <w:szCs w:val="16"/>
          </w:rPr>
          <w:fldChar w:fldCharType="end"/>
        </w:r>
      </w:p>
    </w:sdtContent>
  </w:sdt>
  <w:p w14:paraId="62CE65BB" w14:textId="77777777" w:rsidR="00B777B6" w:rsidRDefault="00B777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334901"/>
      <w:docPartObj>
        <w:docPartGallery w:val="Page Numbers (Bottom of Page)"/>
        <w:docPartUnique/>
      </w:docPartObj>
    </w:sdtPr>
    <w:sdtContent>
      <w:p w14:paraId="326F50FD" w14:textId="77777777" w:rsidR="00B777B6" w:rsidRDefault="00B777B6">
        <w:pPr>
          <w:pStyle w:val="Footer"/>
          <w:jc w:val="right"/>
        </w:pPr>
        <w:r>
          <w:fldChar w:fldCharType="begin"/>
        </w:r>
        <w:r>
          <w:instrText>PAGE   \* MERGEFORMAT</w:instrText>
        </w:r>
        <w:r>
          <w:fldChar w:fldCharType="separate"/>
        </w:r>
        <w:r>
          <w:rPr>
            <w:noProof/>
          </w:rPr>
          <w:t>5</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41757"/>
      <w:docPartObj>
        <w:docPartGallery w:val="Page Numbers (Bottom of Page)"/>
        <w:docPartUnique/>
      </w:docPartObj>
    </w:sdtPr>
    <w:sdtContent>
      <w:p w14:paraId="6D26AAA4" w14:textId="77777777" w:rsidR="0040532B" w:rsidRDefault="0040532B">
        <w:pPr>
          <w:pStyle w:val="Footer"/>
          <w:jc w:val="right"/>
        </w:pPr>
        <w:r>
          <w:fldChar w:fldCharType="begin"/>
        </w:r>
        <w:r>
          <w:instrText>PAGE   \* MERGEFORMAT</w:instrText>
        </w:r>
        <w:r>
          <w:fldChar w:fldCharType="separate"/>
        </w:r>
        <w:r>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31A0F" w14:textId="77777777" w:rsidR="00BA196B" w:rsidRDefault="00BA196B" w:rsidP="00B84A59">
      <w:pPr>
        <w:spacing w:after="0" w:line="240" w:lineRule="auto"/>
      </w:pPr>
      <w:r>
        <w:separator/>
      </w:r>
    </w:p>
  </w:footnote>
  <w:footnote w:type="continuationSeparator" w:id="0">
    <w:p w14:paraId="2486E0E3" w14:textId="77777777" w:rsidR="00BA196B" w:rsidRDefault="00BA196B" w:rsidP="00B84A59">
      <w:pPr>
        <w:spacing w:after="0" w:line="240" w:lineRule="auto"/>
      </w:pPr>
      <w:r>
        <w:continuationSeparator/>
      </w:r>
    </w:p>
  </w:footnote>
  <w:footnote w:id="1">
    <w:p w14:paraId="6481F6EE" w14:textId="59DE0F13" w:rsidR="00412455" w:rsidRPr="009A295C" w:rsidRDefault="00412455" w:rsidP="00412455">
      <w:pPr>
        <w:pStyle w:val="FootnoteText"/>
        <w:rPr>
          <w:lang w:val="en-GB"/>
        </w:rPr>
      </w:pPr>
      <w:r w:rsidRPr="009A295C">
        <w:rPr>
          <w:rStyle w:val="FootnoteReference"/>
          <w:lang w:val="en-GB"/>
        </w:rPr>
        <w:footnoteRef/>
      </w:r>
      <w:r w:rsidRPr="009A295C">
        <w:rPr>
          <w:lang w:val="en-GB"/>
        </w:rPr>
        <w:t xml:space="preserve"> </w:t>
      </w:r>
      <w:r w:rsidR="002A300E" w:rsidRPr="009A295C">
        <w:rPr>
          <w:lang w:val="en-GB"/>
        </w:rPr>
        <w:t>Based on</w:t>
      </w:r>
      <w:r w:rsidRPr="009A295C">
        <w:rPr>
          <w:lang w:val="en-GB"/>
        </w:rPr>
        <w:t xml:space="preserve"> GPW</w:t>
      </w:r>
      <w:r w:rsidR="002A300E" w:rsidRPr="009A295C">
        <w:rPr>
          <w:lang w:val="en-GB"/>
        </w:rPr>
        <w:t>’s capitalisation at the close of trading on</w:t>
      </w:r>
      <w:r w:rsidRPr="009A295C">
        <w:rPr>
          <w:lang w:val="en-GB"/>
        </w:rPr>
        <w:t xml:space="preserve"> 24 </w:t>
      </w:r>
      <w:r w:rsidR="002A300E" w:rsidRPr="009A295C">
        <w:rPr>
          <w:lang w:val="en-GB"/>
        </w:rPr>
        <w:t>April</w:t>
      </w:r>
      <w:r w:rsidRPr="009A295C">
        <w:rPr>
          <w:lang w:val="en-GB"/>
        </w:rPr>
        <w:t xml:space="preserve"> 2026.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04187" w14:textId="1273D375" w:rsidR="00753455" w:rsidRDefault="003F3768" w:rsidP="003F3768">
    <w:pPr>
      <w:pStyle w:val="Header"/>
    </w:pPr>
    <w:r w:rsidRPr="00593006">
      <w:rPr>
        <w:noProof/>
      </w:rPr>
      <w:drawing>
        <wp:inline distT="0" distB="0" distL="0" distR="0" wp14:anchorId="1327294B" wp14:editId="6067D5A5">
          <wp:extent cx="2558955" cy="729720"/>
          <wp:effectExtent l="0" t="0" r="0" b="0"/>
          <wp:docPr id="1662666177"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666177" name="Obraz 1" descr="Obraz zawierający Czcionka, Grafika, projekt graficzny, logo&#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8955" cy="7297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108" w14:textId="77777777" w:rsidR="00B777B6" w:rsidRDefault="00B777B6" w:rsidP="00C57F17">
    <w:pPr>
      <w:pStyle w:val="Header"/>
    </w:pPr>
    <w:r>
      <w:rPr>
        <w:noProof/>
      </w:rPr>
      <w:drawing>
        <wp:anchor distT="0" distB="0" distL="114300" distR="114300" simplePos="0" relativeHeight="251658752" behindDoc="0" locked="0" layoutInCell="1" allowOverlap="1" wp14:anchorId="40EE76CC" wp14:editId="175055F1">
          <wp:simplePos x="0" y="0"/>
          <wp:positionH relativeFrom="margin">
            <wp:align>left</wp:align>
          </wp:positionH>
          <wp:positionV relativeFrom="paragraph">
            <wp:posOffset>-186681</wp:posOffset>
          </wp:positionV>
          <wp:extent cx="1589405" cy="465455"/>
          <wp:effectExtent l="0" t="0" r="0" b="0"/>
          <wp:wrapTopAndBottom/>
          <wp:docPr id="853568445" name="Obraz 853568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4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39CA9" w14:textId="77777777" w:rsidR="00B777B6" w:rsidRDefault="00B777B6">
    <w:pPr>
      <w:pStyle w:val="Header"/>
    </w:pPr>
    <w:r>
      <w:rPr>
        <w:noProof/>
      </w:rPr>
      <w:drawing>
        <wp:anchor distT="0" distB="0" distL="114300" distR="114300" simplePos="0" relativeHeight="251657728" behindDoc="0" locked="0" layoutInCell="1" allowOverlap="1" wp14:anchorId="02BD00DB" wp14:editId="27D672AE">
          <wp:simplePos x="0" y="0"/>
          <wp:positionH relativeFrom="margin">
            <wp:align>left</wp:align>
          </wp:positionH>
          <wp:positionV relativeFrom="paragraph">
            <wp:posOffset>-19685</wp:posOffset>
          </wp:positionV>
          <wp:extent cx="1589405" cy="465455"/>
          <wp:effectExtent l="0" t="0" r="0" b="0"/>
          <wp:wrapTopAndBottom/>
          <wp:docPr id="412669222" name="Obraz 412669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4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06913" w14:textId="77777777" w:rsidR="00B777B6" w:rsidRDefault="00B777B6" w:rsidP="00CD5D56">
    <w:pPr>
      <w:pStyle w:val="Header"/>
      <w:ind w:hanging="567"/>
      <w:rPr>
        <w:noProof/>
      </w:rPr>
    </w:pPr>
    <w:r>
      <w:rPr>
        <w:noProof/>
      </w:rPr>
      <w:drawing>
        <wp:anchor distT="0" distB="0" distL="114300" distR="114300" simplePos="0" relativeHeight="251659776" behindDoc="0" locked="0" layoutInCell="1" allowOverlap="1" wp14:anchorId="43B89C43" wp14:editId="1C4F8A0A">
          <wp:simplePos x="0" y="0"/>
          <wp:positionH relativeFrom="column">
            <wp:posOffset>117594</wp:posOffset>
          </wp:positionH>
          <wp:positionV relativeFrom="paragraph">
            <wp:posOffset>171450</wp:posOffset>
          </wp:positionV>
          <wp:extent cx="1589405" cy="465455"/>
          <wp:effectExtent l="0" t="0" r="0" b="0"/>
          <wp:wrapTopAndBottom/>
          <wp:docPr id="2045846961" name="Obraz 2045846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4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6BE082" w14:textId="77777777" w:rsidR="00B777B6" w:rsidRDefault="00B777B6" w:rsidP="00CD5D56">
    <w:pPr>
      <w:pStyle w:val="Header"/>
      <w:ind w:hanging="56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97351" w14:textId="77777777" w:rsidR="0040532B" w:rsidRDefault="0040532B" w:rsidP="00CD5D56">
    <w:pPr>
      <w:pStyle w:val="Header"/>
      <w:ind w:hanging="567"/>
      <w:rPr>
        <w:noProof/>
      </w:rPr>
    </w:pPr>
    <w:r>
      <w:rPr>
        <w:noProof/>
      </w:rPr>
      <w:drawing>
        <wp:anchor distT="0" distB="0" distL="114300" distR="114300" simplePos="0" relativeHeight="251656704" behindDoc="0" locked="0" layoutInCell="1" allowOverlap="1" wp14:anchorId="6EF8466E" wp14:editId="45B2E511">
          <wp:simplePos x="0" y="0"/>
          <wp:positionH relativeFrom="column">
            <wp:posOffset>117594</wp:posOffset>
          </wp:positionH>
          <wp:positionV relativeFrom="paragraph">
            <wp:posOffset>171450</wp:posOffset>
          </wp:positionV>
          <wp:extent cx="1589405" cy="465455"/>
          <wp:effectExtent l="0" t="0" r="0" b="0"/>
          <wp:wrapTopAndBottom/>
          <wp:docPr id="1082659596" name="Obraz 1082659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4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19A9F8" w14:textId="77777777" w:rsidR="0040532B" w:rsidRDefault="0040532B" w:rsidP="00CD5D56">
    <w:pPr>
      <w:pStyle w:val="Header"/>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2.8pt" o:bullet="t">
        <v:imagedata r:id="rId1" o:title="znaczek"/>
      </v:shape>
    </w:pict>
  </w:numPicBullet>
  <w:abstractNum w:abstractNumId="0" w15:restartNumberingAfterBreak="0">
    <w:nsid w:val="FFFFFF83"/>
    <w:multiLevelType w:val="singleLevel"/>
    <w:tmpl w:val="7FF2FC8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8F2972"/>
    <w:multiLevelType w:val="hybridMultilevel"/>
    <w:tmpl w:val="68DC3A2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B4B4388"/>
    <w:multiLevelType w:val="multilevel"/>
    <w:tmpl w:val="04C43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C82A2C"/>
    <w:multiLevelType w:val="hybridMultilevel"/>
    <w:tmpl w:val="10AC1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34E2C90"/>
    <w:multiLevelType w:val="multilevel"/>
    <w:tmpl w:val="BD7E4590"/>
    <w:lvl w:ilvl="0">
      <w:start w:val="1"/>
      <w:numFmt w:val="bullet"/>
      <w:lvlText w:val=""/>
      <w:lvlJc w:val="left"/>
      <w:pPr>
        <w:tabs>
          <w:tab w:val="num" w:pos="720"/>
        </w:tabs>
        <w:ind w:left="720" w:hanging="360"/>
      </w:pPr>
      <w:rPr>
        <w:rFonts w:ascii="Symbol" w:hAnsi="Symbol" w:hint="default"/>
        <w:color w:val="0090D5"/>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2318E5"/>
    <w:multiLevelType w:val="hybridMultilevel"/>
    <w:tmpl w:val="802EFDD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FC25C7C"/>
    <w:multiLevelType w:val="multilevel"/>
    <w:tmpl w:val="77E04DCC"/>
    <w:lvl w:ilvl="0">
      <w:start w:val="1"/>
      <w:numFmt w:val="bullet"/>
      <w:lvlText w:val="¨"/>
      <w:lvlJc w:val="left"/>
      <w:pPr>
        <w:tabs>
          <w:tab w:val="num" w:pos="720"/>
        </w:tabs>
        <w:ind w:left="720" w:hanging="360"/>
      </w:pPr>
      <w:rPr>
        <w:rFonts w:ascii="Symbol" w:hAnsi="Symbol" w:hint="default"/>
        <w:color w:val="0090D5"/>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CC462A"/>
    <w:multiLevelType w:val="hybridMultilevel"/>
    <w:tmpl w:val="14E4E3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4696A82"/>
    <w:multiLevelType w:val="hybridMultilevel"/>
    <w:tmpl w:val="7ECAB274"/>
    <w:lvl w:ilvl="0" w:tplc="0415000D">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38170785"/>
    <w:multiLevelType w:val="hybridMultilevel"/>
    <w:tmpl w:val="4636F2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D0B0490"/>
    <w:multiLevelType w:val="hybridMultilevel"/>
    <w:tmpl w:val="D43233E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FB9557E"/>
    <w:multiLevelType w:val="hybridMultilevel"/>
    <w:tmpl w:val="F1166BAE"/>
    <w:lvl w:ilvl="0" w:tplc="8FA66AAE">
      <w:start w:val="1"/>
      <w:numFmt w:val="bullet"/>
      <w:lvlText w:val=""/>
      <w:lvlJc w:val="left"/>
      <w:pPr>
        <w:tabs>
          <w:tab w:val="num" w:pos="720"/>
        </w:tabs>
        <w:ind w:left="720" w:hanging="360"/>
      </w:pPr>
      <w:rPr>
        <w:rFonts w:ascii="Symbol" w:hAnsi="Symbol" w:hint="default"/>
      </w:rPr>
    </w:lvl>
    <w:lvl w:ilvl="1" w:tplc="130290BE" w:tentative="1">
      <w:start w:val="1"/>
      <w:numFmt w:val="bullet"/>
      <w:lvlText w:val=""/>
      <w:lvlJc w:val="left"/>
      <w:pPr>
        <w:tabs>
          <w:tab w:val="num" w:pos="1440"/>
        </w:tabs>
        <w:ind w:left="1440" w:hanging="360"/>
      </w:pPr>
      <w:rPr>
        <w:rFonts w:ascii="Symbol" w:hAnsi="Symbol" w:hint="default"/>
      </w:rPr>
    </w:lvl>
    <w:lvl w:ilvl="2" w:tplc="61323266" w:tentative="1">
      <w:start w:val="1"/>
      <w:numFmt w:val="bullet"/>
      <w:lvlText w:val=""/>
      <w:lvlJc w:val="left"/>
      <w:pPr>
        <w:tabs>
          <w:tab w:val="num" w:pos="2160"/>
        </w:tabs>
        <w:ind w:left="2160" w:hanging="360"/>
      </w:pPr>
      <w:rPr>
        <w:rFonts w:ascii="Symbol" w:hAnsi="Symbol" w:hint="default"/>
      </w:rPr>
    </w:lvl>
    <w:lvl w:ilvl="3" w:tplc="CDDAD062" w:tentative="1">
      <w:start w:val="1"/>
      <w:numFmt w:val="bullet"/>
      <w:lvlText w:val=""/>
      <w:lvlJc w:val="left"/>
      <w:pPr>
        <w:tabs>
          <w:tab w:val="num" w:pos="2880"/>
        </w:tabs>
        <w:ind w:left="2880" w:hanging="360"/>
      </w:pPr>
      <w:rPr>
        <w:rFonts w:ascii="Symbol" w:hAnsi="Symbol" w:hint="default"/>
      </w:rPr>
    </w:lvl>
    <w:lvl w:ilvl="4" w:tplc="E56C20D6" w:tentative="1">
      <w:start w:val="1"/>
      <w:numFmt w:val="bullet"/>
      <w:lvlText w:val=""/>
      <w:lvlJc w:val="left"/>
      <w:pPr>
        <w:tabs>
          <w:tab w:val="num" w:pos="3600"/>
        </w:tabs>
        <w:ind w:left="3600" w:hanging="360"/>
      </w:pPr>
      <w:rPr>
        <w:rFonts w:ascii="Symbol" w:hAnsi="Symbol" w:hint="default"/>
      </w:rPr>
    </w:lvl>
    <w:lvl w:ilvl="5" w:tplc="35A66DDA" w:tentative="1">
      <w:start w:val="1"/>
      <w:numFmt w:val="bullet"/>
      <w:lvlText w:val=""/>
      <w:lvlJc w:val="left"/>
      <w:pPr>
        <w:tabs>
          <w:tab w:val="num" w:pos="4320"/>
        </w:tabs>
        <w:ind w:left="4320" w:hanging="360"/>
      </w:pPr>
      <w:rPr>
        <w:rFonts w:ascii="Symbol" w:hAnsi="Symbol" w:hint="default"/>
      </w:rPr>
    </w:lvl>
    <w:lvl w:ilvl="6" w:tplc="C0EA4972" w:tentative="1">
      <w:start w:val="1"/>
      <w:numFmt w:val="bullet"/>
      <w:lvlText w:val=""/>
      <w:lvlJc w:val="left"/>
      <w:pPr>
        <w:tabs>
          <w:tab w:val="num" w:pos="5040"/>
        </w:tabs>
        <w:ind w:left="5040" w:hanging="360"/>
      </w:pPr>
      <w:rPr>
        <w:rFonts w:ascii="Symbol" w:hAnsi="Symbol" w:hint="default"/>
      </w:rPr>
    </w:lvl>
    <w:lvl w:ilvl="7" w:tplc="FE74537A" w:tentative="1">
      <w:start w:val="1"/>
      <w:numFmt w:val="bullet"/>
      <w:lvlText w:val=""/>
      <w:lvlJc w:val="left"/>
      <w:pPr>
        <w:tabs>
          <w:tab w:val="num" w:pos="5760"/>
        </w:tabs>
        <w:ind w:left="5760" w:hanging="360"/>
      </w:pPr>
      <w:rPr>
        <w:rFonts w:ascii="Symbol" w:hAnsi="Symbol" w:hint="default"/>
      </w:rPr>
    </w:lvl>
    <w:lvl w:ilvl="8" w:tplc="D538651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030291D"/>
    <w:multiLevelType w:val="hybridMultilevel"/>
    <w:tmpl w:val="44083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D836DBD"/>
    <w:multiLevelType w:val="hybridMultilevel"/>
    <w:tmpl w:val="6A803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3B75475"/>
    <w:multiLevelType w:val="hybridMultilevel"/>
    <w:tmpl w:val="93489868"/>
    <w:lvl w:ilvl="0" w:tplc="6B38CA1E">
      <w:start w:val="1"/>
      <w:numFmt w:val="bullet"/>
      <w:lvlText w:val=""/>
      <w:lvlJc w:val="left"/>
      <w:pPr>
        <w:tabs>
          <w:tab w:val="num" w:pos="720"/>
        </w:tabs>
        <w:ind w:left="720" w:hanging="360"/>
      </w:pPr>
      <w:rPr>
        <w:rFonts w:ascii="Symbol" w:hAnsi="Symbol" w:hint="default"/>
      </w:rPr>
    </w:lvl>
    <w:lvl w:ilvl="1" w:tplc="981CE000" w:tentative="1">
      <w:start w:val="1"/>
      <w:numFmt w:val="bullet"/>
      <w:lvlText w:val=""/>
      <w:lvlJc w:val="left"/>
      <w:pPr>
        <w:tabs>
          <w:tab w:val="num" w:pos="1440"/>
        </w:tabs>
        <w:ind w:left="1440" w:hanging="360"/>
      </w:pPr>
      <w:rPr>
        <w:rFonts w:ascii="Symbol" w:hAnsi="Symbol" w:hint="default"/>
      </w:rPr>
    </w:lvl>
    <w:lvl w:ilvl="2" w:tplc="1CCAB228" w:tentative="1">
      <w:start w:val="1"/>
      <w:numFmt w:val="bullet"/>
      <w:lvlText w:val=""/>
      <w:lvlJc w:val="left"/>
      <w:pPr>
        <w:tabs>
          <w:tab w:val="num" w:pos="2160"/>
        </w:tabs>
        <w:ind w:left="2160" w:hanging="360"/>
      </w:pPr>
      <w:rPr>
        <w:rFonts w:ascii="Symbol" w:hAnsi="Symbol" w:hint="default"/>
      </w:rPr>
    </w:lvl>
    <w:lvl w:ilvl="3" w:tplc="455C3DF6" w:tentative="1">
      <w:start w:val="1"/>
      <w:numFmt w:val="bullet"/>
      <w:lvlText w:val=""/>
      <w:lvlJc w:val="left"/>
      <w:pPr>
        <w:tabs>
          <w:tab w:val="num" w:pos="2880"/>
        </w:tabs>
        <w:ind w:left="2880" w:hanging="360"/>
      </w:pPr>
      <w:rPr>
        <w:rFonts w:ascii="Symbol" w:hAnsi="Symbol" w:hint="default"/>
      </w:rPr>
    </w:lvl>
    <w:lvl w:ilvl="4" w:tplc="911A1AA6" w:tentative="1">
      <w:start w:val="1"/>
      <w:numFmt w:val="bullet"/>
      <w:lvlText w:val=""/>
      <w:lvlJc w:val="left"/>
      <w:pPr>
        <w:tabs>
          <w:tab w:val="num" w:pos="3600"/>
        </w:tabs>
        <w:ind w:left="3600" w:hanging="360"/>
      </w:pPr>
      <w:rPr>
        <w:rFonts w:ascii="Symbol" w:hAnsi="Symbol" w:hint="default"/>
      </w:rPr>
    </w:lvl>
    <w:lvl w:ilvl="5" w:tplc="A9ACA512" w:tentative="1">
      <w:start w:val="1"/>
      <w:numFmt w:val="bullet"/>
      <w:lvlText w:val=""/>
      <w:lvlJc w:val="left"/>
      <w:pPr>
        <w:tabs>
          <w:tab w:val="num" w:pos="4320"/>
        </w:tabs>
        <w:ind w:left="4320" w:hanging="360"/>
      </w:pPr>
      <w:rPr>
        <w:rFonts w:ascii="Symbol" w:hAnsi="Symbol" w:hint="default"/>
      </w:rPr>
    </w:lvl>
    <w:lvl w:ilvl="6" w:tplc="211CBA3C" w:tentative="1">
      <w:start w:val="1"/>
      <w:numFmt w:val="bullet"/>
      <w:lvlText w:val=""/>
      <w:lvlJc w:val="left"/>
      <w:pPr>
        <w:tabs>
          <w:tab w:val="num" w:pos="5040"/>
        </w:tabs>
        <w:ind w:left="5040" w:hanging="360"/>
      </w:pPr>
      <w:rPr>
        <w:rFonts w:ascii="Symbol" w:hAnsi="Symbol" w:hint="default"/>
      </w:rPr>
    </w:lvl>
    <w:lvl w:ilvl="7" w:tplc="1FC4F662" w:tentative="1">
      <w:start w:val="1"/>
      <w:numFmt w:val="bullet"/>
      <w:lvlText w:val=""/>
      <w:lvlJc w:val="left"/>
      <w:pPr>
        <w:tabs>
          <w:tab w:val="num" w:pos="5760"/>
        </w:tabs>
        <w:ind w:left="5760" w:hanging="360"/>
      </w:pPr>
      <w:rPr>
        <w:rFonts w:ascii="Symbol" w:hAnsi="Symbol" w:hint="default"/>
      </w:rPr>
    </w:lvl>
    <w:lvl w:ilvl="8" w:tplc="B1F204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A2C0E7D"/>
    <w:multiLevelType w:val="hybridMultilevel"/>
    <w:tmpl w:val="1854CB82"/>
    <w:lvl w:ilvl="0" w:tplc="E0B88166">
      <w:start w:val="1"/>
      <w:numFmt w:val="bullet"/>
      <w:lvlText w:val=""/>
      <w:lvlJc w:val="left"/>
      <w:pPr>
        <w:tabs>
          <w:tab w:val="num" w:pos="720"/>
        </w:tabs>
        <w:ind w:left="720" w:hanging="360"/>
      </w:pPr>
      <w:rPr>
        <w:rFonts w:ascii="Symbol" w:hAnsi="Symbol" w:hint="default"/>
      </w:rPr>
    </w:lvl>
    <w:lvl w:ilvl="1" w:tplc="9BC8C79E" w:tentative="1">
      <w:start w:val="1"/>
      <w:numFmt w:val="bullet"/>
      <w:lvlText w:val=""/>
      <w:lvlJc w:val="left"/>
      <w:pPr>
        <w:tabs>
          <w:tab w:val="num" w:pos="1440"/>
        </w:tabs>
        <w:ind w:left="1440" w:hanging="360"/>
      </w:pPr>
      <w:rPr>
        <w:rFonts w:ascii="Symbol" w:hAnsi="Symbol" w:hint="default"/>
      </w:rPr>
    </w:lvl>
    <w:lvl w:ilvl="2" w:tplc="9D624982" w:tentative="1">
      <w:start w:val="1"/>
      <w:numFmt w:val="bullet"/>
      <w:lvlText w:val=""/>
      <w:lvlJc w:val="left"/>
      <w:pPr>
        <w:tabs>
          <w:tab w:val="num" w:pos="2160"/>
        </w:tabs>
        <w:ind w:left="2160" w:hanging="360"/>
      </w:pPr>
      <w:rPr>
        <w:rFonts w:ascii="Symbol" w:hAnsi="Symbol" w:hint="default"/>
      </w:rPr>
    </w:lvl>
    <w:lvl w:ilvl="3" w:tplc="97A41BFC" w:tentative="1">
      <w:start w:val="1"/>
      <w:numFmt w:val="bullet"/>
      <w:lvlText w:val=""/>
      <w:lvlJc w:val="left"/>
      <w:pPr>
        <w:tabs>
          <w:tab w:val="num" w:pos="2880"/>
        </w:tabs>
        <w:ind w:left="2880" w:hanging="360"/>
      </w:pPr>
      <w:rPr>
        <w:rFonts w:ascii="Symbol" w:hAnsi="Symbol" w:hint="default"/>
      </w:rPr>
    </w:lvl>
    <w:lvl w:ilvl="4" w:tplc="E9BC6C96" w:tentative="1">
      <w:start w:val="1"/>
      <w:numFmt w:val="bullet"/>
      <w:lvlText w:val=""/>
      <w:lvlJc w:val="left"/>
      <w:pPr>
        <w:tabs>
          <w:tab w:val="num" w:pos="3600"/>
        </w:tabs>
        <w:ind w:left="3600" w:hanging="360"/>
      </w:pPr>
      <w:rPr>
        <w:rFonts w:ascii="Symbol" w:hAnsi="Symbol" w:hint="default"/>
      </w:rPr>
    </w:lvl>
    <w:lvl w:ilvl="5" w:tplc="390851F0" w:tentative="1">
      <w:start w:val="1"/>
      <w:numFmt w:val="bullet"/>
      <w:lvlText w:val=""/>
      <w:lvlJc w:val="left"/>
      <w:pPr>
        <w:tabs>
          <w:tab w:val="num" w:pos="4320"/>
        </w:tabs>
        <w:ind w:left="4320" w:hanging="360"/>
      </w:pPr>
      <w:rPr>
        <w:rFonts w:ascii="Symbol" w:hAnsi="Symbol" w:hint="default"/>
      </w:rPr>
    </w:lvl>
    <w:lvl w:ilvl="6" w:tplc="FE825A7A" w:tentative="1">
      <w:start w:val="1"/>
      <w:numFmt w:val="bullet"/>
      <w:lvlText w:val=""/>
      <w:lvlJc w:val="left"/>
      <w:pPr>
        <w:tabs>
          <w:tab w:val="num" w:pos="5040"/>
        </w:tabs>
        <w:ind w:left="5040" w:hanging="360"/>
      </w:pPr>
      <w:rPr>
        <w:rFonts w:ascii="Symbol" w:hAnsi="Symbol" w:hint="default"/>
      </w:rPr>
    </w:lvl>
    <w:lvl w:ilvl="7" w:tplc="8216E5D6" w:tentative="1">
      <w:start w:val="1"/>
      <w:numFmt w:val="bullet"/>
      <w:lvlText w:val=""/>
      <w:lvlJc w:val="left"/>
      <w:pPr>
        <w:tabs>
          <w:tab w:val="num" w:pos="5760"/>
        </w:tabs>
        <w:ind w:left="5760" w:hanging="360"/>
      </w:pPr>
      <w:rPr>
        <w:rFonts w:ascii="Symbol" w:hAnsi="Symbol" w:hint="default"/>
      </w:rPr>
    </w:lvl>
    <w:lvl w:ilvl="8" w:tplc="E000035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CAB502B"/>
    <w:multiLevelType w:val="hybridMultilevel"/>
    <w:tmpl w:val="8F30B9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FE75923"/>
    <w:multiLevelType w:val="hybridMultilevel"/>
    <w:tmpl w:val="AA644148"/>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8" w15:restartNumberingAfterBreak="0">
    <w:nsid w:val="69B47B7D"/>
    <w:multiLevelType w:val="hybridMultilevel"/>
    <w:tmpl w:val="7458DB7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A655FAC"/>
    <w:multiLevelType w:val="hybridMultilevel"/>
    <w:tmpl w:val="36142014"/>
    <w:lvl w:ilvl="0" w:tplc="EE42F9EE">
      <w:start w:val="1"/>
      <w:numFmt w:val="bullet"/>
      <w:lvlText w:val=""/>
      <w:lvlJc w:val="left"/>
      <w:pPr>
        <w:tabs>
          <w:tab w:val="num" w:pos="720"/>
        </w:tabs>
        <w:ind w:left="720" w:hanging="360"/>
      </w:pPr>
      <w:rPr>
        <w:rFonts w:ascii="Symbol" w:hAnsi="Symbol" w:hint="default"/>
      </w:rPr>
    </w:lvl>
    <w:lvl w:ilvl="1" w:tplc="B26C8D10" w:tentative="1">
      <w:start w:val="1"/>
      <w:numFmt w:val="bullet"/>
      <w:lvlText w:val=""/>
      <w:lvlJc w:val="left"/>
      <w:pPr>
        <w:tabs>
          <w:tab w:val="num" w:pos="1440"/>
        </w:tabs>
        <w:ind w:left="1440" w:hanging="360"/>
      </w:pPr>
      <w:rPr>
        <w:rFonts w:ascii="Symbol" w:hAnsi="Symbol" w:hint="default"/>
      </w:rPr>
    </w:lvl>
    <w:lvl w:ilvl="2" w:tplc="29A60FAA" w:tentative="1">
      <w:start w:val="1"/>
      <w:numFmt w:val="bullet"/>
      <w:lvlText w:val=""/>
      <w:lvlJc w:val="left"/>
      <w:pPr>
        <w:tabs>
          <w:tab w:val="num" w:pos="2160"/>
        </w:tabs>
        <w:ind w:left="2160" w:hanging="360"/>
      </w:pPr>
      <w:rPr>
        <w:rFonts w:ascii="Symbol" w:hAnsi="Symbol" w:hint="default"/>
      </w:rPr>
    </w:lvl>
    <w:lvl w:ilvl="3" w:tplc="53B82A16" w:tentative="1">
      <w:start w:val="1"/>
      <w:numFmt w:val="bullet"/>
      <w:lvlText w:val=""/>
      <w:lvlJc w:val="left"/>
      <w:pPr>
        <w:tabs>
          <w:tab w:val="num" w:pos="2880"/>
        </w:tabs>
        <w:ind w:left="2880" w:hanging="360"/>
      </w:pPr>
      <w:rPr>
        <w:rFonts w:ascii="Symbol" w:hAnsi="Symbol" w:hint="default"/>
      </w:rPr>
    </w:lvl>
    <w:lvl w:ilvl="4" w:tplc="DB807840" w:tentative="1">
      <w:start w:val="1"/>
      <w:numFmt w:val="bullet"/>
      <w:lvlText w:val=""/>
      <w:lvlJc w:val="left"/>
      <w:pPr>
        <w:tabs>
          <w:tab w:val="num" w:pos="3600"/>
        </w:tabs>
        <w:ind w:left="3600" w:hanging="360"/>
      </w:pPr>
      <w:rPr>
        <w:rFonts w:ascii="Symbol" w:hAnsi="Symbol" w:hint="default"/>
      </w:rPr>
    </w:lvl>
    <w:lvl w:ilvl="5" w:tplc="98E4E7E2" w:tentative="1">
      <w:start w:val="1"/>
      <w:numFmt w:val="bullet"/>
      <w:lvlText w:val=""/>
      <w:lvlJc w:val="left"/>
      <w:pPr>
        <w:tabs>
          <w:tab w:val="num" w:pos="4320"/>
        </w:tabs>
        <w:ind w:left="4320" w:hanging="360"/>
      </w:pPr>
      <w:rPr>
        <w:rFonts w:ascii="Symbol" w:hAnsi="Symbol" w:hint="default"/>
      </w:rPr>
    </w:lvl>
    <w:lvl w:ilvl="6" w:tplc="5AEC93C4" w:tentative="1">
      <w:start w:val="1"/>
      <w:numFmt w:val="bullet"/>
      <w:lvlText w:val=""/>
      <w:lvlJc w:val="left"/>
      <w:pPr>
        <w:tabs>
          <w:tab w:val="num" w:pos="5040"/>
        </w:tabs>
        <w:ind w:left="5040" w:hanging="360"/>
      </w:pPr>
      <w:rPr>
        <w:rFonts w:ascii="Symbol" w:hAnsi="Symbol" w:hint="default"/>
      </w:rPr>
    </w:lvl>
    <w:lvl w:ilvl="7" w:tplc="5672C57C" w:tentative="1">
      <w:start w:val="1"/>
      <w:numFmt w:val="bullet"/>
      <w:lvlText w:val=""/>
      <w:lvlJc w:val="left"/>
      <w:pPr>
        <w:tabs>
          <w:tab w:val="num" w:pos="5760"/>
        </w:tabs>
        <w:ind w:left="5760" w:hanging="360"/>
      </w:pPr>
      <w:rPr>
        <w:rFonts w:ascii="Symbol" w:hAnsi="Symbol" w:hint="default"/>
      </w:rPr>
    </w:lvl>
    <w:lvl w:ilvl="8" w:tplc="C414CBE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B322FB2"/>
    <w:multiLevelType w:val="multilevel"/>
    <w:tmpl w:val="194A9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AB2810"/>
    <w:multiLevelType w:val="multilevel"/>
    <w:tmpl w:val="D21AAE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E623BB"/>
    <w:multiLevelType w:val="hybridMultilevel"/>
    <w:tmpl w:val="D0C822F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7345677D"/>
    <w:multiLevelType w:val="hybridMultilevel"/>
    <w:tmpl w:val="E5127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18792879">
    <w:abstractNumId w:val="6"/>
  </w:num>
  <w:num w:numId="2" w16cid:durableId="1377317194">
    <w:abstractNumId w:val="14"/>
  </w:num>
  <w:num w:numId="3" w16cid:durableId="1911621196">
    <w:abstractNumId w:val="4"/>
  </w:num>
  <w:num w:numId="4" w16cid:durableId="2079981869">
    <w:abstractNumId w:val="12"/>
  </w:num>
  <w:num w:numId="5" w16cid:durableId="1628657649">
    <w:abstractNumId w:val="22"/>
  </w:num>
  <w:num w:numId="6" w16cid:durableId="146022674">
    <w:abstractNumId w:val="8"/>
  </w:num>
  <w:num w:numId="7" w16cid:durableId="1852988586">
    <w:abstractNumId w:val="18"/>
  </w:num>
  <w:num w:numId="8" w16cid:durableId="1966691753">
    <w:abstractNumId w:val="10"/>
  </w:num>
  <w:num w:numId="9" w16cid:durableId="567573311">
    <w:abstractNumId w:val="20"/>
  </w:num>
  <w:num w:numId="10" w16cid:durableId="737870854">
    <w:abstractNumId w:val="5"/>
  </w:num>
  <w:num w:numId="11" w16cid:durableId="1074282232">
    <w:abstractNumId w:val="11"/>
  </w:num>
  <w:num w:numId="12" w16cid:durableId="1587030043">
    <w:abstractNumId w:val="1"/>
  </w:num>
  <w:num w:numId="13" w16cid:durableId="246114433">
    <w:abstractNumId w:val="15"/>
  </w:num>
  <w:num w:numId="14" w16cid:durableId="1845824966">
    <w:abstractNumId w:val="19"/>
  </w:num>
  <w:num w:numId="15" w16cid:durableId="109324088">
    <w:abstractNumId w:val="0"/>
  </w:num>
  <w:num w:numId="16" w16cid:durableId="1082143267">
    <w:abstractNumId w:val="3"/>
  </w:num>
  <w:num w:numId="17" w16cid:durableId="420179497">
    <w:abstractNumId w:val="17"/>
  </w:num>
  <w:num w:numId="18" w16cid:durableId="663900459">
    <w:abstractNumId w:val="16"/>
  </w:num>
  <w:num w:numId="19" w16cid:durableId="335886097">
    <w:abstractNumId w:val="13"/>
  </w:num>
  <w:num w:numId="20" w16cid:durableId="344214106">
    <w:abstractNumId w:val="7"/>
  </w:num>
  <w:num w:numId="21" w16cid:durableId="613556138">
    <w:abstractNumId w:val="23"/>
  </w:num>
  <w:num w:numId="22" w16cid:durableId="1515219310">
    <w:abstractNumId w:val="2"/>
  </w:num>
  <w:num w:numId="23" w16cid:durableId="926960994">
    <w:abstractNumId w:val="21"/>
  </w:num>
  <w:num w:numId="24" w16cid:durableId="4647338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E56"/>
    <w:rsid w:val="00007371"/>
    <w:rsid w:val="0000765A"/>
    <w:rsid w:val="000107FC"/>
    <w:rsid w:val="000111DE"/>
    <w:rsid w:val="000129A1"/>
    <w:rsid w:val="00013487"/>
    <w:rsid w:val="0001477E"/>
    <w:rsid w:val="00015B7B"/>
    <w:rsid w:val="00015C7A"/>
    <w:rsid w:val="000173D1"/>
    <w:rsid w:val="00017D6D"/>
    <w:rsid w:val="00020700"/>
    <w:rsid w:val="00021720"/>
    <w:rsid w:val="00021D3E"/>
    <w:rsid w:val="00023E05"/>
    <w:rsid w:val="00024ABA"/>
    <w:rsid w:val="00024F07"/>
    <w:rsid w:val="00025141"/>
    <w:rsid w:val="000262A8"/>
    <w:rsid w:val="000264A2"/>
    <w:rsid w:val="00027C03"/>
    <w:rsid w:val="00030E5F"/>
    <w:rsid w:val="0003196D"/>
    <w:rsid w:val="00032013"/>
    <w:rsid w:val="000337C5"/>
    <w:rsid w:val="00034CCC"/>
    <w:rsid w:val="00035F01"/>
    <w:rsid w:val="00041594"/>
    <w:rsid w:val="000437B2"/>
    <w:rsid w:val="00043D78"/>
    <w:rsid w:val="000443CF"/>
    <w:rsid w:val="00045305"/>
    <w:rsid w:val="0004698C"/>
    <w:rsid w:val="00046B3F"/>
    <w:rsid w:val="00046E8D"/>
    <w:rsid w:val="000475D3"/>
    <w:rsid w:val="00047CE3"/>
    <w:rsid w:val="00050C80"/>
    <w:rsid w:val="00050E07"/>
    <w:rsid w:val="0005167F"/>
    <w:rsid w:val="00051718"/>
    <w:rsid w:val="0005445B"/>
    <w:rsid w:val="00054467"/>
    <w:rsid w:val="00055BB4"/>
    <w:rsid w:val="00060292"/>
    <w:rsid w:val="000612DF"/>
    <w:rsid w:val="00064D26"/>
    <w:rsid w:val="000650C5"/>
    <w:rsid w:val="0006510E"/>
    <w:rsid w:val="00065B0B"/>
    <w:rsid w:val="00071B8A"/>
    <w:rsid w:val="00072FCE"/>
    <w:rsid w:val="000734EC"/>
    <w:rsid w:val="00075159"/>
    <w:rsid w:val="00075A84"/>
    <w:rsid w:val="00077922"/>
    <w:rsid w:val="00077BA9"/>
    <w:rsid w:val="0008032C"/>
    <w:rsid w:val="000806FD"/>
    <w:rsid w:val="0008077F"/>
    <w:rsid w:val="000825F0"/>
    <w:rsid w:val="000829AE"/>
    <w:rsid w:val="00082B97"/>
    <w:rsid w:val="000830BD"/>
    <w:rsid w:val="00085215"/>
    <w:rsid w:val="00091735"/>
    <w:rsid w:val="00092C29"/>
    <w:rsid w:val="0009384F"/>
    <w:rsid w:val="00094896"/>
    <w:rsid w:val="000949CF"/>
    <w:rsid w:val="000A0499"/>
    <w:rsid w:val="000A27BD"/>
    <w:rsid w:val="000A2F59"/>
    <w:rsid w:val="000A3A55"/>
    <w:rsid w:val="000A5BFB"/>
    <w:rsid w:val="000A6033"/>
    <w:rsid w:val="000A69C7"/>
    <w:rsid w:val="000A6CCC"/>
    <w:rsid w:val="000A7291"/>
    <w:rsid w:val="000A7674"/>
    <w:rsid w:val="000B04CE"/>
    <w:rsid w:val="000B0C4E"/>
    <w:rsid w:val="000B0DDA"/>
    <w:rsid w:val="000B0F11"/>
    <w:rsid w:val="000B1987"/>
    <w:rsid w:val="000B2F65"/>
    <w:rsid w:val="000B31BD"/>
    <w:rsid w:val="000B33A5"/>
    <w:rsid w:val="000B3AA8"/>
    <w:rsid w:val="000B40A3"/>
    <w:rsid w:val="000B7029"/>
    <w:rsid w:val="000C1B63"/>
    <w:rsid w:val="000C25FF"/>
    <w:rsid w:val="000C3169"/>
    <w:rsid w:val="000C3332"/>
    <w:rsid w:val="000C3E75"/>
    <w:rsid w:val="000C4753"/>
    <w:rsid w:val="000C50D3"/>
    <w:rsid w:val="000C5794"/>
    <w:rsid w:val="000C74B9"/>
    <w:rsid w:val="000C7675"/>
    <w:rsid w:val="000C76BE"/>
    <w:rsid w:val="000D5530"/>
    <w:rsid w:val="000D721F"/>
    <w:rsid w:val="000D7646"/>
    <w:rsid w:val="000E0462"/>
    <w:rsid w:val="000E0DA3"/>
    <w:rsid w:val="000E12FA"/>
    <w:rsid w:val="000E1CCA"/>
    <w:rsid w:val="000E1E7F"/>
    <w:rsid w:val="000E2182"/>
    <w:rsid w:val="000E411E"/>
    <w:rsid w:val="000E46BC"/>
    <w:rsid w:val="000E5641"/>
    <w:rsid w:val="000E6349"/>
    <w:rsid w:val="000E663F"/>
    <w:rsid w:val="000E7045"/>
    <w:rsid w:val="000F170E"/>
    <w:rsid w:val="000F1803"/>
    <w:rsid w:val="000F1C13"/>
    <w:rsid w:val="000F3339"/>
    <w:rsid w:val="000F3595"/>
    <w:rsid w:val="000F36EC"/>
    <w:rsid w:val="000F383A"/>
    <w:rsid w:val="000F456F"/>
    <w:rsid w:val="000F4E4D"/>
    <w:rsid w:val="000F70A3"/>
    <w:rsid w:val="00101148"/>
    <w:rsid w:val="00101563"/>
    <w:rsid w:val="001043DF"/>
    <w:rsid w:val="0010576D"/>
    <w:rsid w:val="001072E4"/>
    <w:rsid w:val="001074C6"/>
    <w:rsid w:val="00107BB1"/>
    <w:rsid w:val="00111743"/>
    <w:rsid w:val="00112135"/>
    <w:rsid w:val="00112FF7"/>
    <w:rsid w:val="0011471C"/>
    <w:rsid w:val="0011541F"/>
    <w:rsid w:val="0011623E"/>
    <w:rsid w:val="0011647F"/>
    <w:rsid w:val="001172B6"/>
    <w:rsid w:val="00117FDA"/>
    <w:rsid w:val="001211B6"/>
    <w:rsid w:val="00121E6C"/>
    <w:rsid w:val="00123B34"/>
    <w:rsid w:val="00124668"/>
    <w:rsid w:val="001274D6"/>
    <w:rsid w:val="00130870"/>
    <w:rsid w:val="001316C5"/>
    <w:rsid w:val="00131711"/>
    <w:rsid w:val="00132746"/>
    <w:rsid w:val="00133D13"/>
    <w:rsid w:val="0013508E"/>
    <w:rsid w:val="00135622"/>
    <w:rsid w:val="0013679B"/>
    <w:rsid w:val="00136BBE"/>
    <w:rsid w:val="001411A7"/>
    <w:rsid w:val="001413E3"/>
    <w:rsid w:val="00150874"/>
    <w:rsid w:val="00150A4A"/>
    <w:rsid w:val="00151EDC"/>
    <w:rsid w:val="00152508"/>
    <w:rsid w:val="001525C7"/>
    <w:rsid w:val="001527EC"/>
    <w:rsid w:val="00153547"/>
    <w:rsid w:val="00154983"/>
    <w:rsid w:val="0015507C"/>
    <w:rsid w:val="0015561D"/>
    <w:rsid w:val="00156403"/>
    <w:rsid w:val="00156634"/>
    <w:rsid w:val="00157996"/>
    <w:rsid w:val="00160C20"/>
    <w:rsid w:val="001613F5"/>
    <w:rsid w:val="00161D46"/>
    <w:rsid w:val="001622C6"/>
    <w:rsid w:val="00162353"/>
    <w:rsid w:val="00163669"/>
    <w:rsid w:val="001637EC"/>
    <w:rsid w:val="001644FA"/>
    <w:rsid w:val="001657E3"/>
    <w:rsid w:val="00165DA2"/>
    <w:rsid w:val="0016681E"/>
    <w:rsid w:val="00166DDC"/>
    <w:rsid w:val="00167877"/>
    <w:rsid w:val="00171919"/>
    <w:rsid w:val="00171976"/>
    <w:rsid w:val="00171A16"/>
    <w:rsid w:val="00172872"/>
    <w:rsid w:val="00172FBA"/>
    <w:rsid w:val="0017338B"/>
    <w:rsid w:val="00173D84"/>
    <w:rsid w:val="001768D4"/>
    <w:rsid w:val="0018141E"/>
    <w:rsid w:val="00182282"/>
    <w:rsid w:val="00183310"/>
    <w:rsid w:val="001835DB"/>
    <w:rsid w:val="0018375B"/>
    <w:rsid w:val="00183C29"/>
    <w:rsid w:val="00183FCF"/>
    <w:rsid w:val="0018454C"/>
    <w:rsid w:val="001854D7"/>
    <w:rsid w:val="00186743"/>
    <w:rsid w:val="00186937"/>
    <w:rsid w:val="001903DF"/>
    <w:rsid w:val="001905B7"/>
    <w:rsid w:val="00191564"/>
    <w:rsid w:val="00192339"/>
    <w:rsid w:val="0019248E"/>
    <w:rsid w:val="0019256E"/>
    <w:rsid w:val="0019345E"/>
    <w:rsid w:val="00195DF3"/>
    <w:rsid w:val="001979AC"/>
    <w:rsid w:val="00197DFB"/>
    <w:rsid w:val="001A0D04"/>
    <w:rsid w:val="001A0F04"/>
    <w:rsid w:val="001A1B5A"/>
    <w:rsid w:val="001A274D"/>
    <w:rsid w:val="001A4255"/>
    <w:rsid w:val="001A4FAA"/>
    <w:rsid w:val="001A5397"/>
    <w:rsid w:val="001A6007"/>
    <w:rsid w:val="001A7362"/>
    <w:rsid w:val="001A76CF"/>
    <w:rsid w:val="001A79D7"/>
    <w:rsid w:val="001B05B7"/>
    <w:rsid w:val="001B3831"/>
    <w:rsid w:val="001B5C95"/>
    <w:rsid w:val="001B66B4"/>
    <w:rsid w:val="001B721B"/>
    <w:rsid w:val="001C0347"/>
    <w:rsid w:val="001C1DB6"/>
    <w:rsid w:val="001C1EFE"/>
    <w:rsid w:val="001C28CD"/>
    <w:rsid w:val="001C2BEB"/>
    <w:rsid w:val="001C30F5"/>
    <w:rsid w:val="001C37F6"/>
    <w:rsid w:val="001C37F9"/>
    <w:rsid w:val="001C3B8A"/>
    <w:rsid w:val="001C3CB2"/>
    <w:rsid w:val="001C4174"/>
    <w:rsid w:val="001C5E8F"/>
    <w:rsid w:val="001C679B"/>
    <w:rsid w:val="001C6CA3"/>
    <w:rsid w:val="001C7925"/>
    <w:rsid w:val="001D09D4"/>
    <w:rsid w:val="001D0F00"/>
    <w:rsid w:val="001D2430"/>
    <w:rsid w:val="001D24E5"/>
    <w:rsid w:val="001D34A9"/>
    <w:rsid w:val="001D35A2"/>
    <w:rsid w:val="001D4225"/>
    <w:rsid w:val="001D435B"/>
    <w:rsid w:val="001D4516"/>
    <w:rsid w:val="001D45D5"/>
    <w:rsid w:val="001D46A7"/>
    <w:rsid w:val="001D5AEE"/>
    <w:rsid w:val="001D7D86"/>
    <w:rsid w:val="001E0FE5"/>
    <w:rsid w:val="001E1CCB"/>
    <w:rsid w:val="001E2066"/>
    <w:rsid w:val="001E2D83"/>
    <w:rsid w:val="001E30C3"/>
    <w:rsid w:val="001E3BFB"/>
    <w:rsid w:val="001E4000"/>
    <w:rsid w:val="001E4B69"/>
    <w:rsid w:val="001E5E72"/>
    <w:rsid w:val="001F1B75"/>
    <w:rsid w:val="001F2CC2"/>
    <w:rsid w:val="001F71C5"/>
    <w:rsid w:val="001F72AB"/>
    <w:rsid w:val="001F7FF6"/>
    <w:rsid w:val="00200C68"/>
    <w:rsid w:val="0020125B"/>
    <w:rsid w:val="00201BD2"/>
    <w:rsid w:val="00201EE6"/>
    <w:rsid w:val="00202064"/>
    <w:rsid w:val="002025FF"/>
    <w:rsid w:val="00203105"/>
    <w:rsid w:val="002034F8"/>
    <w:rsid w:val="002041B8"/>
    <w:rsid w:val="002045C8"/>
    <w:rsid w:val="00205376"/>
    <w:rsid w:val="002053B4"/>
    <w:rsid w:val="002069AE"/>
    <w:rsid w:val="00206A59"/>
    <w:rsid w:val="002074D4"/>
    <w:rsid w:val="00210D33"/>
    <w:rsid w:val="00211ADC"/>
    <w:rsid w:val="00213091"/>
    <w:rsid w:val="002138EF"/>
    <w:rsid w:val="00215368"/>
    <w:rsid w:val="00216FA1"/>
    <w:rsid w:val="002209B8"/>
    <w:rsid w:val="00220DDE"/>
    <w:rsid w:val="0022213B"/>
    <w:rsid w:val="002224AD"/>
    <w:rsid w:val="00222926"/>
    <w:rsid w:val="00222B21"/>
    <w:rsid w:val="00223F38"/>
    <w:rsid w:val="00223F69"/>
    <w:rsid w:val="00223FFB"/>
    <w:rsid w:val="00225B21"/>
    <w:rsid w:val="00226BEC"/>
    <w:rsid w:val="00227F7E"/>
    <w:rsid w:val="002303DB"/>
    <w:rsid w:val="00230B12"/>
    <w:rsid w:val="00230C90"/>
    <w:rsid w:val="00230D58"/>
    <w:rsid w:val="002339DF"/>
    <w:rsid w:val="0023527D"/>
    <w:rsid w:val="00235706"/>
    <w:rsid w:val="00235F39"/>
    <w:rsid w:val="00236077"/>
    <w:rsid w:val="00237BFB"/>
    <w:rsid w:val="002416C0"/>
    <w:rsid w:val="0024231B"/>
    <w:rsid w:val="00244577"/>
    <w:rsid w:val="0024479A"/>
    <w:rsid w:val="00245D30"/>
    <w:rsid w:val="00245FE4"/>
    <w:rsid w:val="0024600A"/>
    <w:rsid w:val="00247869"/>
    <w:rsid w:val="00253901"/>
    <w:rsid w:val="00254832"/>
    <w:rsid w:val="00255651"/>
    <w:rsid w:val="00261265"/>
    <w:rsid w:val="00261821"/>
    <w:rsid w:val="00261A1C"/>
    <w:rsid w:val="00264FBB"/>
    <w:rsid w:val="002656DF"/>
    <w:rsid w:val="00266DBC"/>
    <w:rsid w:val="002672CC"/>
    <w:rsid w:val="002745DB"/>
    <w:rsid w:val="00275276"/>
    <w:rsid w:val="00275CB2"/>
    <w:rsid w:val="002804DE"/>
    <w:rsid w:val="00280587"/>
    <w:rsid w:val="002814F2"/>
    <w:rsid w:val="00282AE3"/>
    <w:rsid w:val="002839D4"/>
    <w:rsid w:val="00284236"/>
    <w:rsid w:val="00284DC0"/>
    <w:rsid w:val="00284F1A"/>
    <w:rsid w:val="00285DBB"/>
    <w:rsid w:val="00286181"/>
    <w:rsid w:val="00287519"/>
    <w:rsid w:val="002903DA"/>
    <w:rsid w:val="00290BFC"/>
    <w:rsid w:val="00292DBC"/>
    <w:rsid w:val="00293223"/>
    <w:rsid w:val="00294A87"/>
    <w:rsid w:val="00295529"/>
    <w:rsid w:val="00295554"/>
    <w:rsid w:val="00295E8C"/>
    <w:rsid w:val="00296A81"/>
    <w:rsid w:val="00296F9A"/>
    <w:rsid w:val="002971F5"/>
    <w:rsid w:val="002974A9"/>
    <w:rsid w:val="00297647"/>
    <w:rsid w:val="002A06A8"/>
    <w:rsid w:val="002A0970"/>
    <w:rsid w:val="002A2D88"/>
    <w:rsid w:val="002A300E"/>
    <w:rsid w:val="002A38A5"/>
    <w:rsid w:val="002A3CE0"/>
    <w:rsid w:val="002A4844"/>
    <w:rsid w:val="002A4958"/>
    <w:rsid w:val="002A4F40"/>
    <w:rsid w:val="002A5B67"/>
    <w:rsid w:val="002A609B"/>
    <w:rsid w:val="002B0176"/>
    <w:rsid w:val="002B0567"/>
    <w:rsid w:val="002B0DBD"/>
    <w:rsid w:val="002B6EBA"/>
    <w:rsid w:val="002C12A9"/>
    <w:rsid w:val="002C17CA"/>
    <w:rsid w:val="002C2BBC"/>
    <w:rsid w:val="002C41AA"/>
    <w:rsid w:val="002C47A8"/>
    <w:rsid w:val="002C4DCA"/>
    <w:rsid w:val="002C54CA"/>
    <w:rsid w:val="002D17FD"/>
    <w:rsid w:val="002D220C"/>
    <w:rsid w:val="002D31A8"/>
    <w:rsid w:val="002D37B9"/>
    <w:rsid w:val="002D5150"/>
    <w:rsid w:val="002D5E38"/>
    <w:rsid w:val="002D76B0"/>
    <w:rsid w:val="002D7DEE"/>
    <w:rsid w:val="002D7E0A"/>
    <w:rsid w:val="002E1351"/>
    <w:rsid w:val="002E5044"/>
    <w:rsid w:val="002E5085"/>
    <w:rsid w:val="002E5109"/>
    <w:rsid w:val="002E5206"/>
    <w:rsid w:val="002E60B6"/>
    <w:rsid w:val="002E6235"/>
    <w:rsid w:val="002E7C38"/>
    <w:rsid w:val="002F154E"/>
    <w:rsid w:val="002F1839"/>
    <w:rsid w:val="002F29ED"/>
    <w:rsid w:val="002F2ED6"/>
    <w:rsid w:val="002F386C"/>
    <w:rsid w:val="002F6569"/>
    <w:rsid w:val="002F6D11"/>
    <w:rsid w:val="002F7371"/>
    <w:rsid w:val="00303B53"/>
    <w:rsid w:val="00304582"/>
    <w:rsid w:val="00304901"/>
    <w:rsid w:val="0031058B"/>
    <w:rsid w:val="00310A03"/>
    <w:rsid w:val="00310AA7"/>
    <w:rsid w:val="0031206C"/>
    <w:rsid w:val="003148F0"/>
    <w:rsid w:val="00315110"/>
    <w:rsid w:val="00315C26"/>
    <w:rsid w:val="00315C38"/>
    <w:rsid w:val="00315FE2"/>
    <w:rsid w:val="00316602"/>
    <w:rsid w:val="00317550"/>
    <w:rsid w:val="00321E0B"/>
    <w:rsid w:val="0032277E"/>
    <w:rsid w:val="0032279A"/>
    <w:rsid w:val="00323C01"/>
    <w:rsid w:val="00323C88"/>
    <w:rsid w:val="00325A3C"/>
    <w:rsid w:val="00325F59"/>
    <w:rsid w:val="003262D3"/>
    <w:rsid w:val="00326C25"/>
    <w:rsid w:val="003270D8"/>
    <w:rsid w:val="0032767E"/>
    <w:rsid w:val="00327C02"/>
    <w:rsid w:val="0033010C"/>
    <w:rsid w:val="003314E2"/>
    <w:rsid w:val="00331530"/>
    <w:rsid w:val="00334A19"/>
    <w:rsid w:val="00335FB1"/>
    <w:rsid w:val="0034155C"/>
    <w:rsid w:val="00342610"/>
    <w:rsid w:val="00342B73"/>
    <w:rsid w:val="00343550"/>
    <w:rsid w:val="003436C3"/>
    <w:rsid w:val="00344252"/>
    <w:rsid w:val="0034580A"/>
    <w:rsid w:val="003478E4"/>
    <w:rsid w:val="0035387E"/>
    <w:rsid w:val="00353C6F"/>
    <w:rsid w:val="00355960"/>
    <w:rsid w:val="003567C2"/>
    <w:rsid w:val="00356E3C"/>
    <w:rsid w:val="003618DC"/>
    <w:rsid w:val="003618E4"/>
    <w:rsid w:val="00362019"/>
    <w:rsid w:val="003625F0"/>
    <w:rsid w:val="00362FBD"/>
    <w:rsid w:val="003632D5"/>
    <w:rsid w:val="0036521A"/>
    <w:rsid w:val="00365391"/>
    <w:rsid w:val="0036586A"/>
    <w:rsid w:val="003701C0"/>
    <w:rsid w:val="0037290A"/>
    <w:rsid w:val="00373A4A"/>
    <w:rsid w:val="0037567C"/>
    <w:rsid w:val="00375AB8"/>
    <w:rsid w:val="00375F95"/>
    <w:rsid w:val="00377F4A"/>
    <w:rsid w:val="003809D7"/>
    <w:rsid w:val="00381292"/>
    <w:rsid w:val="00383A28"/>
    <w:rsid w:val="0038762F"/>
    <w:rsid w:val="00387ECE"/>
    <w:rsid w:val="00391F75"/>
    <w:rsid w:val="003928CD"/>
    <w:rsid w:val="003929A6"/>
    <w:rsid w:val="003A2402"/>
    <w:rsid w:val="003A2C8B"/>
    <w:rsid w:val="003A35F7"/>
    <w:rsid w:val="003A4D47"/>
    <w:rsid w:val="003A5177"/>
    <w:rsid w:val="003A7052"/>
    <w:rsid w:val="003B003B"/>
    <w:rsid w:val="003B030E"/>
    <w:rsid w:val="003B0BAD"/>
    <w:rsid w:val="003B1FEE"/>
    <w:rsid w:val="003B2E27"/>
    <w:rsid w:val="003B3207"/>
    <w:rsid w:val="003B3277"/>
    <w:rsid w:val="003B55C9"/>
    <w:rsid w:val="003B5F36"/>
    <w:rsid w:val="003B700B"/>
    <w:rsid w:val="003B7A3D"/>
    <w:rsid w:val="003C2CCF"/>
    <w:rsid w:val="003C3510"/>
    <w:rsid w:val="003C45E1"/>
    <w:rsid w:val="003C4F3D"/>
    <w:rsid w:val="003C7F3C"/>
    <w:rsid w:val="003D0C4A"/>
    <w:rsid w:val="003D191E"/>
    <w:rsid w:val="003D1BAB"/>
    <w:rsid w:val="003D2027"/>
    <w:rsid w:val="003D262C"/>
    <w:rsid w:val="003D3A20"/>
    <w:rsid w:val="003D3E40"/>
    <w:rsid w:val="003D3EC4"/>
    <w:rsid w:val="003D468D"/>
    <w:rsid w:val="003D4A97"/>
    <w:rsid w:val="003D4D7A"/>
    <w:rsid w:val="003D5890"/>
    <w:rsid w:val="003D71EF"/>
    <w:rsid w:val="003E206A"/>
    <w:rsid w:val="003E2EF9"/>
    <w:rsid w:val="003E3626"/>
    <w:rsid w:val="003E4827"/>
    <w:rsid w:val="003E6F2F"/>
    <w:rsid w:val="003E70D7"/>
    <w:rsid w:val="003E75C2"/>
    <w:rsid w:val="003E7DFE"/>
    <w:rsid w:val="003F103D"/>
    <w:rsid w:val="003F1C7E"/>
    <w:rsid w:val="003F20D2"/>
    <w:rsid w:val="003F2D10"/>
    <w:rsid w:val="003F2FDD"/>
    <w:rsid w:val="003F2FE7"/>
    <w:rsid w:val="003F3768"/>
    <w:rsid w:val="003F4968"/>
    <w:rsid w:val="003F5BB9"/>
    <w:rsid w:val="003F65C0"/>
    <w:rsid w:val="003F7A0F"/>
    <w:rsid w:val="003F7DDC"/>
    <w:rsid w:val="003F7EEA"/>
    <w:rsid w:val="00400AA8"/>
    <w:rsid w:val="0040141C"/>
    <w:rsid w:val="004016B4"/>
    <w:rsid w:val="00403CDA"/>
    <w:rsid w:val="0040532B"/>
    <w:rsid w:val="00405879"/>
    <w:rsid w:val="00406969"/>
    <w:rsid w:val="00406D33"/>
    <w:rsid w:val="00407A67"/>
    <w:rsid w:val="004105E3"/>
    <w:rsid w:val="00410748"/>
    <w:rsid w:val="004108A8"/>
    <w:rsid w:val="00410A07"/>
    <w:rsid w:val="00412455"/>
    <w:rsid w:val="0041596A"/>
    <w:rsid w:val="00417452"/>
    <w:rsid w:val="0041775A"/>
    <w:rsid w:val="004222A4"/>
    <w:rsid w:val="004224A3"/>
    <w:rsid w:val="004225BA"/>
    <w:rsid w:val="00422E61"/>
    <w:rsid w:val="00424F79"/>
    <w:rsid w:val="00424FE9"/>
    <w:rsid w:val="0042616C"/>
    <w:rsid w:val="004265AA"/>
    <w:rsid w:val="004305DB"/>
    <w:rsid w:val="004311D5"/>
    <w:rsid w:val="00431CEE"/>
    <w:rsid w:val="00435277"/>
    <w:rsid w:val="004356D7"/>
    <w:rsid w:val="00435AB4"/>
    <w:rsid w:val="00435D9F"/>
    <w:rsid w:val="00436300"/>
    <w:rsid w:val="00436F36"/>
    <w:rsid w:val="004376A2"/>
    <w:rsid w:val="00437E7E"/>
    <w:rsid w:val="00441211"/>
    <w:rsid w:val="00441786"/>
    <w:rsid w:val="00441D8B"/>
    <w:rsid w:val="00442A6B"/>
    <w:rsid w:val="00442C76"/>
    <w:rsid w:val="00442D52"/>
    <w:rsid w:val="00443221"/>
    <w:rsid w:val="00444F18"/>
    <w:rsid w:val="00445373"/>
    <w:rsid w:val="00445CFF"/>
    <w:rsid w:val="00447282"/>
    <w:rsid w:val="00447CE2"/>
    <w:rsid w:val="0045159F"/>
    <w:rsid w:val="004530DF"/>
    <w:rsid w:val="0045401F"/>
    <w:rsid w:val="0045578D"/>
    <w:rsid w:val="00463BB0"/>
    <w:rsid w:val="004643A6"/>
    <w:rsid w:val="004709D8"/>
    <w:rsid w:val="00471343"/>
    <w:rsid w:val="00472203"/>
    <w:rsid w:val="004723CA"/>
    <w:rsid w:val="0047249B"/>
    <w:rsid w:val="004732A8"/>
    <w:rsid w:val="00473F9A"/>
    <w:rsid w:val="004753C4"/>
    <w:rsid w:val="00475AC2"/>
    <w:rsid w:val="00475CBE"/>
    <w:rsid w:val="004822E7"/>
    <w:rsid w:val="00483515"/>
    <w:rsid w:val="004836BC"/>
    <w:rsid w:val="00486B9B"/>
    <w:rsid w:val="00486CF9"/>
    <w:rsid w:val="0048768E"/>
    <w:rsid w:val="004909A3"/>
    <w:rsid w:val="0049103B"/>
    <w:rsid w:val="004946BE"/>
    <w:rsid w:val="0049518B"/>
    <w:rsid w:val="00495849"/>
    <w:rsid w:val="004A0524"/>
    <w:rsid w:val="004A0C6B"/>
    <w:rsid w:val="004A0E50"/>
    <w:rsid w:val="004A0F17"/>
    <w:rsid w:val="004A1111"/>
    <w:rsid w:val="004A21D6"/>
    <w:rsid w:val="004A3FCF"/>
    <w:rsid w:val="004A4778"/>
    <w:rsid w:val="004A5213"/>
    <w:rsid w:val="004A6B0D"/>
    <w:rsid w:val="004A7C4C"/>
    <w:rsid w:val="004A7EBC"/>
    <w:rsid w:val="004A7EF2"/>
    <w:rsid w:val="004B0190"/>
    <w:rsid w:val="004B0CDD"/>
    <w:rsid w:val="004B0E45"/>
    <w:rsid w:val="004B101D"/>
    <w:rsid w:val="004B1FAE"/>
    <w:rsid w:val="004B1FC7"/>
    <w:rsid w:val="004B31CA"/>
    <w:rsid w:val="004B51EA"/>
    <w:rsid w:val="004B5315"/>
    <w:rsid w:val="004B6A08"/>
    <w:rsid w:val="004B6A7E"/>
    <w:rsid w:val="004B6AE7"/>
    <w:rsid w:val="004C2544"/>
    <w:rsid w:val="004C2A61"/>
    <w:rsid w:val="004C2FF8"/>
    <w:rsid w:val="004C3977"/>
    <w:rsid w:val="004C490D"/>
    <w:rsid w:val="004C65CE"/>
    <w:rsid w:val="004D0C4B"/>
    <w:rsid w:val="004D2791"/>
    <w:rsid w:val="004D2F79"/>
    <w:rsid w:val="004D38F1"/>
    <w:rsid w:val="004D3AB7"/>
    <w:rsid w:val="004D41B9"/>
    <w:rsid w:val="004D453A"/>
    <w:rsid w:val="004D56D2"/>
    <w:rsid w:val="004D5974"/>
    <w:rsid w:val="004D5DFE"/>
    <w:rsid w:val="004D65B2"/>
    <w:rsid w:val="004D7B87"/>
    <w:rsid w:val="004E0425"/>
    <w:rsid w:val="004E1496"/>
    <w:rsid w:val="004E1568"/>
    <w:rsid w:val="004E1AAB"/>
    <w:rsid w:val="004E21D2"/>
    <w:rsid w:val="004E2F1A"/>
    <w:rsid w:val="004E4090"/>
    <w:rsid w:val="004E51BA"/>
    <w:rsid w:val="004E523F"/>
    <w:rsid w:val="004E5C09"/>
    <w:rsid w:val="004E6544"/>
    <w:rsid w:val="004E66F1"/>
    <w:rsid w:val="004E6A9B"/>
    <w:rsid w:val="004E6E9E"/>
    <w:rsid w:val="004E7645"/>
    <w:rsid w:val="004F00BD"/>
    <w:rsid w:val="004F020D"/>
    <w:rsid w:val="004F111B"/>
    <w:rsid w:val="004F14BF"/>
    <w:rsid w:val="004F1D95"/>
    <w:rsid w:val="004F1F41"/>
    <w:rsid w:val="004F2568"/>
    <w:rsid w:val="004F30C2"/>
    <w:rsid w:val="004F402B"/>
    <w:rsid w:val="004F4135"/>
    <w:rsid w:val="004F4369"/>
    <w:rsid w:val="004F4B66"/>
    <w:rsid w:val="004F51B0"/>
    <w:rsid w:val="004F6AFA"/>
    <w:rsid w:val="004F7637"/>
    <w:rsid w:val="004F7F90"/>
    <w:rsid w:val="00501D5A"/>
    <w:rsid w:val="0050285E"/>
    <w:rsid w:val="005029FF"/>
    <w:rsid w:val="0050370F"/>
    <w:rsid w:val="00504DB2"/>
    <w:rsid w:val="005060D0"/>
    <w:rsid w:val="00506EC6"/>
    <w:rsid w:val="00510F23"/>
    <w:rsid w:val="0051167F"/>
    <w:rsid w:val="00512A7A"/>
    <w:rsid w:val="00514055"/>
    <w:rsid w:val="00514523"/>
    <w:rsid w:val="0051662C"/>
    <w:rsid w:val="005168C2"/>
    <w:rsid w:val="00516D4C"/>
    <w:rsid w:val="00516E27"/>
    <w:rsid w:val="0051770B"/>
    <w:rsid w:val="00517BEA"/>
    <w:rsid w:val="0052122D"/>
    <w:rsid w:val="00521280"/>
    <w:rsid w:val="00522701"/>
    <w:rsid w:val="00524008"/>
    <w:rsid w:val="00530326"/>
    <w:rsid w:val="00530A7C"/>
    <w:rsid w:val="00531E80"/>
    <w:rsid w:val="00532DAD"/>
    <w:rsid w:val="00534742"/>
    <w:rsid w:val="00534B25"/>
    <w:rsid w:val="00536B1A"/>
    <w:rsid w:val="00536E46"/>
    <w:rsid w:val="00537C68"/>
    <w:rsid w:val="00541A36"/>
    <w:rsid w:val="00541CAA"/>
    <w:rsid w:val="00542E96"/>
    <w:rsid w:val="00543EBF"/>
    <w:rsid w:val="005442CE"/>
    <w:rsid w:val="00544859"/>
    <w:rsid w:val="0054570F"/>
    <w:rsid w:val="0054615D"/>
    <w:rsid w:val="00550162"/>
    <w:rsid w:val="00550BEF"/>
    <w:rsid w:val="00550C5B"/>
    <w:rsid w:val="0055230D"/>
    <w:rsid w:val="0055286C"/>
    <w:rsid w:val="00552BD8"/>
    <w:rsid w:val="00552E2F"/>
    <w:rsid w:val="00554253"/>
    <w:rsid w:val="005545BD"/>
    <w:rsid w:val="00556CBB"/>
    <w:rsid w:val="0055775B"/>
    <w:rsid w:val="00557CBE"/>
    <w:rsid w:val="0056121A"/>
    <w:rsid w:val="00562472"/>
    <w:rsid w:val="00562A9C"/>
    <w:rsid w:val="005637B1"/>
    <w:rsid w:val="0056492D"/>
    <w:rsid w:val="0056623A"/>
    <w:rsid w:val="00566C39"/>
    <w:rsid w:val="005718D7"/>
    <w:rsid w:val="00572391"/>
    <w:rsid w:val="00575B79"/>
    <w:rsid w:val="00580B27"/>
    <w:rsid w:val="005822E3"/>
    <w:rsid w:val="00582B12"/>
    <w:rsid w:val="00583B9D"/>
    <w:rsid w:val="00584BC4"/>
    <w:rsid w:val="00587EB6"/>
    <w:rsid w:val="0059441A"/>
    <w:rsid w:val="00594D1E"/>
    <w:rsid w:val="0059640A"/>
    <w:rsid w:val="005A12B7"/>
    <w:rsid w:val="005A2670"/>
    <w:rsid w:val="005A4441"/>
    <w:rsid w:val="005A4696"/>
    <w:rsid w:val="005A543D"/>
    <w:rsid w:val="005A6B47"/>
    <w:rsid w:val="005B0BF6"/>
    <w:rsid w:val="005B0D3C"/>
    <w:rsid w:val="005B1266"/>
    <w:rsid w:val="005B1485"/>
    <w:rsid w:val="005B2767"/>
    <w:rsid w:val="005B3559"/>
    <w:rsid w:val="005B47CF"/>
    <w:rsid w:val="005B4A44"/>
    <w:rsid w:val="005B4D97"/>
    <w:rsid w:val="005B6F33"/>
    <w:rsid w:val="005B747A"/>
    <w:rsid w:val="005B77A4"/>
    <w:rsid w:val="005C2B35"/>
    <w:rsid w:val="005C3F51"/>
    <w:rsid w:val="005C500F"/>
    <w:rsid w:val="005C54E9"/>
    <w:rsid w:val="005C734A"/>
    <w:rsid w:val="005C7C10"/>
    <w:rsid w:val="005D1D2F"/>
    <w:rsid w:val="005D1DCD"/>
    <w:rsid w:val="005D2983"/>
    <w:rsid w:val="005D3696"/>
    <w:rsid w:val="005D3ACE"/>
    <w:rsid w:val="005D446E"/>
    <w:rsid w:val="005D5249"/>
    <w:rsid w:val="005D78C8"/>
    <w:rsid w:val="005D7B4B"/>
    <w:rsid w:val="005E0B7E"/>
    <w:rsid w:val="005E0F3F"/>
    <w:rsid w:val="005E1C2C"/>
    <w:rsid w:val="005E242E"/>
    <w:rsid w:val="005E4409"/>
    <w:rsid w:val="005E4A0D"/>
    <w:rsid w:val="005E4BDE"/>
    <w:rsid w:val="005E643A"/>
    <w:rsid w:val="005E6A49"/>
    <w:rsid w:val="005F02CB"/>
    <w:rsid w:val="005F1A6B"/>
    <w:rsid w:val="005F3009"/>
    <w:rsid w:val="005F3997"/>
    <w:rsid w:val="005F3C06"/>
    <w:rsid w:val="005F3DBF"/>
    <w:rsid w:val="005F43A9"/>
    <w:rsid w:val="005F5D03"/>
    <w:rsid w:val="005F6B62"/>
    <w:rsid w:val="005F7A40"/>
    <w:rsid w:val="006002D9"/>
    <w:rsid w:val="006022B4"/>
    <w:rsid w:val="0060586E"/>
    <w:rsid w:val="0060614C"/>
    <w:rsid w:val="00607DAF"/>
    <w:rsid w:val="0061011A"/>
    <w:rsid w:val="00610814"/>
    <w:rsid w:val="00611A38"/>
    <w:rsid w:val="0061221B"/>
    <w:rsid w:val="0061291A"/>
    <w:rsid w:val="006170C6"/>
    <w:rsid w:val="006172AA"/>
    <w:rsid w:val="00620296"/>
    <w:rsid w:val="006230D8"/>
    <w:rsid w:val="00625AC0"/>
    <w:rsid w:val="006279BC"/>
    <w:rsid w:val="00630B88"/>
    <w:rsid w:val="00632411"/>
    <w:rsid w:val="00633AF3"/>
    <w:rsid w:val="00633E87"/>
    <w:rsid w:val="0063419B"/>
    <w:rsid w:val="006345F6"/>
    <w:rsid w:val="00636E8A"/>
    <w:rsid w:val="00637B21"/>
    <w:rsid w:val="00640FF3"/>
    <w:rsid w:val="006440DB"/>
    <w:rsid w:val="0064532E"/>
    <w:rsid w:val="006454A7"/>
    <w:rsid w:val="00645F78"/>
    <w:rsid w:val="00645FC2"/>
    <w:rsid w:val="00646B25"/>
    <w:rsid w:val="00646E63"/>
    <w:rsid w:val="0065233C"/>
    <w:rsid w:val="00652559"/>
    <w:rsid w:val="00655611"/>
    <w:rsid w:val="0065727B"/>
    <w:rsid w:val="00657EA8"/>
    <w:rsid w:val="00660587"/>
    <w:rsid w:val="0066355D"/>
    <w:rsid w:val="006653B6"/>
    <w:rsid w:val="00666680"/>
    <w:rsid w:val="0067113E"/>
    <w:rsid w:val="00673EAE"/>
    <w:rsid w:val="00676849"/>
    <w:rsid w:val="00676F26"/>
    <w:rsid w:val="00680453"/>
    <w:rsid w:val="00681D7B"/>
    <w:rsid w:val="0068303B"/>
    <w:rsid w:val="00683234"/>
    <w:rsid w:val="006841A2"/>
    <w:rsid w:val="00684CC9"/>
    <w:rsid w:val="00685D75"/>
    <w:rsid w:val="00687085"/>
    <w:rsid w:val="00690252"/>
    <w:rsid w:val="00690748"/>
    <w:rsid w:val="00690FD3"/>
    <w:rsid w:val="00691F42"/>
    <w:rsid w:val="00692B4A"/>
    <w:rsid w:val="00692E9E"/>
    <w:rsid w:val="006942CA"/>
    <w:rsid w:val="00695A3C"/>
    <w:rsid w:val="0069671F"/>
    <w:rsid w:val="00696EE5"/>
    <w:rsid w:val="006972A0"/>
    <w:rsid w:val="00697C07"/>
    <w:rsid w:val="006A0085"/>
    <w:rsid w:val="006A0432"/>
    <w:rsid w:val="006A0F27"/>
    <w:rsid w:val="006A2432"/>
    <w:rsid w:val="006A4943"/>
    <w:rsid w:val="006A4B62"/>
    <w:rsid w:val="006A4F6D"/>
    <w:rsid w:val="006A5945"/>
    <w:rsid w:val="006A5C17"/>
    <w:rsid w:val="006A602C"/>
    <w:rsid w:val="006A63D0"/>
    <w:rsid w:val="006A6C19"/>
    <w:rsid w:val="006B2480"/>
    <w:rsid w:val="006B26FE"/>
    <w:rsid w:val="006B2723"/>
    <w:rsid w:val="006B29FD"/>
    <w:rsid w:val="006B36F3"/>
    <w:rsid w:val="006B4650"/>
    <w:rsid w:val="006B5000"/>
    <w:rsid w:val="006B5D7B"/>
    <w:rsid w:val="006B7DDC"/>
    <w:rsid w:val="006C01E2"/>
    <w:rsid w:val="006C06E3"/>
    <w:rsid w:val="006C0E27"/>
    <w:rsid w:val="006C17BB"/>
    <w:rsid w:val="006C2030"/>
    <w:rsid w:val="006C2ECF"/>
    <w:rsid w:val="006C68D4"/>
    <w:rsid w:val="006C6942"/>
    <w:rsid w:val="006C7641"/>
    <w:rsid w:val="006C7E72"/>
    <w:rsid w:val="006D0250"/>
    <w:rsid w:val="006D029A"/>
    <w:rsid w:val="006D0FDC"/>
    <w:rsid w:val="006D1FD8"/>
    <w:rsid w:val="006D204E"/>
    <w:rsid w:val="006D29B9"/>
    <w:rsid w:val="006D2AF8"/>
    <w:rsid w:val="006D4854"/>
    <w:rsid w:val="006D679F"/>
    <w:rsid w:val="006E0CBA"/>
    <w:rsid w:val="006E2EC8"/>
    <w:rsid w:val="006E3464"/>
    <w:rsid w:val="006E362B"/>
    <w:rsid w:val="006E3A2F"/>
    <w:rsid w:val="006E42DB"/>
    <w:rsid w:val="006E4EAF"/>
    <w:rsid w:val="006E5459"/>
    <w:rsid w:val="006E58B2"/>
    <w:rsid w:val="006E6F74"/>
    <w:rsid w:val="006F0087"/>
    <w:rsid w:val="006F0596"/>
    <w:rsid w:val="006F0A46"/>
    <w:rsid w:val="006F2091"/>
    <w:rsid w:val="006F529B"/>
    <w:rsid w:val="006F55F4"/>
    <w:rsid w:val="006F592D"/>
    <w:rsid w:val="006F6525"/>
    <w:rsid w:val="006F719B"/>
    <w:rsid w:val="00700EF1"/>
    <w:rsid w:val="00701D18"/>
    <w:rsid w:val="00702D9C"/>
    <w:rsid w:val="0070645D"/>
    <w:rsid w:val="00706B26"/>
    <w:rsid w:val="007101DB"/>
    <w:rsid w:val="007116C5"/>
    <w:rsid w:val="00712DBD"/>
    <w:rsid w:val="00714907"/>
    <w:rsid w:val="0071498A"/>
    <w:rsid w:val="00715D14"/>
    <w:rsid w:val="00716227"/>
    <w:rsid w:val="00716E2D"/>
    <w:rsid w:val="00720F42"/>
    <w:rsid w:val="00721368"/>
    <w:rsid w:val="00723EB2"/>
    <w:rsid w:val="007242B6"/>
    <w:rsid w:val="007256BE"/>
    <w:rsid w:val="00725BE0"/>
    <w:rsid w:val="0072644C"/>
    <w:rsid w:val="00726705"/>
    <w:rsid w:val="00731445"/>
    <w:rsid w:val="007324DF"/>
    <w:rsid w:val="00733BD1"/>
    <w:rsid w:val="00733F35"/>
    <w:rsid w:val="0073434A"/>
    <w:rsid w:val="007347E5"/>
    <w:rsid w:val="00735739"/>
    <w:rsid w:val="00736BB2"/>
    <w:rsid w:val="00740969"/>
    <w:rsid w:val="00742205"/>
    <w:rsid w:val="0074225A"/>
    <w:rsid w:val="007439F3"/>
    <w:rsid w:val="00743EEC"/>
    <w:rsid w:val="00744CF8"/>
    <w:rsid w:val="007454C3"/>
    <w:rsid w:val="00750DC6"/>
    <w:rsid w:val="00753455"/>
    <w:rsid w:val="007537A6"/>
    <w:rsid w:val="00753BA1"/>
    <w:rsid w:val="00754873"/>
    <w:rsid w:val="0075676F"/>
    <w:rsid w:val="007567AF"/>
    <w:rsid w:val="00756E98"/>
    <w:rsid w:val="007605E5"/>
    <w:rsid w:val="0076103B"/>
    <w:rsid w:val="007614A2"/>
    <w:rsid w:val="00764CE4"/>
    <w:rsid w:val="00765B4F"/>
    <w:rsid w:val="00767029"/>
    <w:rsid w:val="007670B8"/>
    <w:rsid w:val="00770523"/>
    <w:rsid w:val="007723C9"/>
    <w:rsid w:val="00772E5F"/>
    <w:rsid w:val="00774E50"/>
    <w:rsid w:val="007755BE"/>
    <w:rsid w:val="00776B52"/>
    <w:rsid w:val="00781363"/>
    <w:rsid w:val="007815ED"/>
    <w:rsid w:val="00782418"/>
    <w:rsid w:val="00783257"/>
    <w:rsid w:val="00783EDB"/>
    <w:rsid w:val="00784269"/>
    <w:rsid w:val="00784C26"/>
    <w:rsid w:val="00786B25"/>
    <w:rsid w:val="00787DD8"/>
    <w:rsid w:val="007900F0"/>
    <w:rsid w:val="007909A0"/>
    <w:rsid w:val="007925A1"/>
    <w:rsid w:val="00792A20"/>
    <w:rsid w:val="007932B2"/>
    <w:rsid w:val="00793F39"/>
    <w:rsid w:val="0079400B"/>
    <w:rsid w:val="00794075"/>
    <w:rsid w:val="007956B7"/>
    <w:rsid w:val="007A104C"/>
    <w:rsid w:val="007A1FD8"/>
    <w:rsid w:val="007A232F"/>
    <w:rsid w:val="007A4B4F"/>
    <w:rsid w:val="007A58BC"/>
    <w:rsid w:val="007A7FAF"/>
    <w:rsid w:val="007B0252"/>
    <w:rsid w:val="007B13EE"/>
    <w:rsid w:val="007B1455"/>
    <w:rsid w:val="007B1D46"/>
    <w:rsid w:val="007B25B9"/>
    <w:rsid w:val="007B5245"/>
    <w:rsid w:val="007B5FC5"/>
    <w:rsid w:val="007B6C38"/>
    <w:rsid w:val="007B709D"/>
    <w:rsid w:val="007B78E2"/>
    <w:rsid w:val="007C0A29"/>
    <w:rsid w:val="007C3784"/>
    <w:rsid w:val="007C3852"/>
    <w:rsid w:val="007C3E32"/>
    <w:rsid w:val="007C4121"/>
    <w:rsid w:val="007C528C"/>
    <w:rsid w:val="007C5CA5"/>
    <w:rsid w:val="007C68B0"/>
    <w:rsid w:val="007C6CFE"/>
    <w:rsid w:val="007C7D50"/>
    <w:rsid w:val="007D0DA8"/>
    <w:rsid w:val="007D2078"/>
    <w:rsid w:val="007D7DFE"/>
    <w:rsid w:val="007E02F7"/>
    <w:rsid w:val="007E0807"/>
    <w:rsid w:val="007E1493"/>
    <w:rsid w:val="007E3875"/>
    <w:rsid w:val="007E4453"/>
    <w:rsid w:val="007E7A5D"/>
    <w:rsid w:val="007F17C3"/>
    <w:rsid w:val="007F1B6F"/>
    <w:rsid w:val="007F255B"/>
    <w:rsid w:val="007F5939"/>
    <w:rsid w:val="007F7201"/>
    <w:rsid w:val="00800511"/>
    <w:rsid w:val="00803992"/>
    <w:rsid w:val="00804183"/>
    <w:rsid w:val="008046CF"/>
    <w:rsid w:val="00805988"/>
    <w:rsid w:val="00805CFA"/>
    <w:rsid w:val="008064B0"/>
    <w:rsid w:val="0080764D"/>
    <w:rsid w:val="00810D0A"/>
    <w:rsid w:val="008130FB"/>
    <w:rsid w:val="0081441D"/>
    <w:rsid w:val="008149C4"/>
    <w:rsid w:val="00814E30"/>
    <w:rsid w:val="00815742"/>
    <w:rsid w:val="008208FC"/>
    <w:rsid w:val="00822ABD"/>
    <w:rsid w:val="008231C8"/>
    <w:rsid w:val="008236CD"/>
    <w:rsid w:val="00823F54"/>
    <w:rsid w:val="00824D30"/>
    <w:rsid w:val="0082621B"/>
    <w:rsid w:val="00826583"/>
    <w:rsid w:val="00831289"/>
    <w:rsid w:val="00831A51"/>
    <w:rsid w:val="00836CEC"/>
    <w:rsid w:val="00841C1F"/>
    <w:rsid w:val="00842A0F"/>
    <w:rsid w:val="00842C99"/>
    <w:rsid w:val="00842F49"/>
    <w:rsid w:val="0084351F"/>
    <w:rsid w:val="00843FA4"/>
    <w:rsid w:val="0084443C"/>
    <w:rsid w:val="00844DEB"/>
    <w:rsid w:val="00845313"/>
    <w:rsid w:val="00846478"/>
    <w:rsid w:val="00847899"/>
    <w:rsid w:val="00853106"/>
    <w:rsid w:val="00855D60"/>
    <w:rsid w:val="00856B65"/>
    <w:rsid w:val="00860592"/>
    <w:rsid w:val="00865782"/>
    <w:rsid w:val="00865D9D"/>
    <w:rsid w:val="00866D0A"/>
    <w:rsid w:val="00866D4E"/>
    <w:rsid w:val="008671C5"/>
    <w:rsid w:val="00870393"/>
    <w:rsid w:val="008733A3"/>
    <w:rsid w:val="008733E2"/>
    <w:rsid w:val="00873EC2"/>
    <w:rsid w:val="0087425C"/>
    <w:rsid w:val="008742FD"/>
    <w:rsid w:val="00874956"/>
    <w:rsid w:val="0087580F"/>
    <w:rsid w:val="00880658"/>
    <w:rsid w:val="00880A31"/>
    <w:rsid w:val="00881A06"/>
    <w:rsid w:val="00882919"/>
    <w:rsid w:val="008835C4"/>
    <w:rsid w:val="0088398B"/>
    <w:rsid w:val="00883A0F"/>
    <w:rsid w:val="00883BB3"/>
    <w:rsid w:val="00884597"/>
    <w:rsid w:val="00884AF8"/>
    <w:rsid w:val="00886804"/>
    <w:rsid w:val="008878D2"/>
    <w:rsid w:val="008902B8"/>
    <w:rsid w:val="008917DC"/>
    <w:rsid w:val="008921B8"/>
    <w:rsid w:val="00893060"/>
    <w:rsid w:val="008933A4"/>
    <w:rsid w:val="00893D7D"/>
    <w:rsid w:val="00894785"/>
    <w:rsid w:val="0089530B"/>
    <w:rsid w:val="0089761A"/>
    <w:rsid w:val="008A0AF7"/>
    <w:rsid w:val="008A1497"/>
    <w:rsid w:val="008A17DB"/>
    <w:rsid w:val="008A3D9B"/>
    <w:rsid w:val="008A4B6E"/>
    <w:rsid w:val="008A5227"/>
    <w:rsid w:val="008A5923"/>
    <w:rsid w:val="008A5B1D"/>
    <w:rsid w:val="008A5E1D"/>
    <w:rsid w:val="008A7BDA"/>
    <w:rsid w:val="008B08FB"/>
    <w:rsid w:val="008B0B2B"/>
    <w:rsid w:val="008B15D3"/>
    <w:rsid w:val="008B2B7E"/>
    <w:rsid w:val="008B3714"/>
    <w:rsid w:val="008B4559"/>
    <w:rsid w:val="008B4FED"/>
    <w:rsid w:val="008B6578"/>
    <w:rsid w:val="008C1DE1"/>
    <w:rsid w:val="008C1EE5"/>
    <w:rsid w:val="008C211B"/>
    <w:rsid w:val="008C2780"/>
    <w:rsid w:val="008C2DCA"/>
    <w:rsid w:val="008C5C00"/>
    <w:rsid w:val="008C78B7"/>
    <w:rsid w:val="008D180D"/>
    <w:rsid w:val="008D70E3"/>
    <w:rsid w:val="008E07D3"/>
    <w:rsid w:val="008E0B77"/>
    <w:rsid w:val="008E30A1"/>
    <w:rsid w:val="008E3310"/>
    <w:rsid w:val="008E4A94"/>
    <w:rsid w:val="008E562F"/>
    <w:rsid w:val="008E5886"/>
    <w:rsid w:val="008F0A45"/>
    <w:rsid w:val="008F0D46"/>
    <w:rsid w:val="008F25E9"/>
    <w:rsid w:val="008F37B9"/>
    <w:rsid w:val="008F5149"/>
    <w:rsid w:val="008F6569"/>
    <w:rsid w:val="008F6984"/>
    <w:rsid w:val="008F6CAF"/>
    <w:rsid w:val="008F748D"/>
    <w:rsid w:val="008F7A0E"/>
    <w:rsid w:val="0090126A"/>
    <w:rsid w:val="00901A62"/>
    <w:rsid w:val="009040FE"/>
    <w:rsid w:val="00904E56"/>
    <w:rsid w:val="00905F1E"/>
    <w:rsid w:val="00906DFA"/>
    <w:rsid w:val="00906F40"/>
    <w:rsid w:val="009075F4"/>
    <w:rsid w:val="00910019"/>
    <w:rsid w:val="00910F7F"/>
    <w:rsid w:val="00911BD5"/>
    <w:rsid w:val="00911E90"/>
    <w:rsid w:val="00912E9B"/>
    <w:rsid w:val="00912F6C"/>
    <w:rsid w:val="00913915"/>
    <w:rsid w:val="00915954"/>
    <w:rsid w:val="009170F5"/>
    <w:rsid w:val="00917E66"/>
    <w:rsid w:val="00917F43"/>
    <w:rsid w:val="0092018F"/>
    <w:rsid w:val="009220C3"/>
    <w:rsid w:val="00922960"/>
    <w:rsid w:val="009248B7"/>
    <w:rsid w:val="0092622A"/>
    <w:rsid w:val="009263C2"/>
    <w:rsid w:val="00926D94"/>
    <w:rsid w:val="00927249"/>
    <w:rsid w:val="0093019B"/>
    <w:rsid w:val="00931146"/>
    <w:rsid w:val="009316D1"/>
    <w:rsid w:val="0093212F"/>
    <w:rsid w:val="0093387A"/>
    <w:rsid w:val="009348F1"/>
    <w:rsid w:val="00936340"/>
    <w:rsid w:val="00937AD2"/>
    <w:rsid w:val="00940D51"/>
    <w:rsid w:val="00942039"/>
    <w:rsid w:val="00945C97"/>
    <w:rsid w:val="00950E70"/>
    <w:rsid w:val="00951503"/>
    <w:rsid w:val="009526DA"/>
    <w:rsid w:val="009533D0"/>
    <w:rsid w:val="00954FF3"/>
    <w:rsid w:val="00955158"/>
    <w:rsid w:val="00960314"/>
    <w:rsid w:val="0096162B"/>
    <w:rsid w:val="009619AB"/>
    <w:rsid w:val="00964F94"/>
    <w:rsid w:val="0096535F"/>
    <w:rsid w:val="009664BB"/>
    <w:rsid w:val="00966695"/>
    <w:rsid w:val="00966DE9"/>
    <w:rsid w:val="00967ED2"/>
    <w:rsid w:val="00971926"/>
    <w:rsid w:val="00971D11"/>
    <w:rsid w:val="00972462"/>
    <w:rsid w:val="0097252D"/>
    <w:rsid w:val="009725CB"/>
    <w:rsid w:val="00972DD9"/>
    <w:rsid w:val="009733FB"/>
    <w:rsid w:val="00976E55"/>
    <w:rsid w:val="00977009"/>
    <w:rsid w:val="00977432"/>
    <w:rsid w:val="0098148D"/>
    <w:rsid w:val="009818B8"/>
    <w:rsid w:val="00982516"/>
    <w:rsid w:val="00983DD9"/>
    <w:rsid w:val="009843E2"/>
    <w:rsid w:val="00984CE9"/>
    <w:rsid w:val="0098533B"/>
    <w:rsid w:val="009910E0"/>
    <w:rsid w:val="0099191B"/>
    <w:rsid w:val="00992303"/>
    <w:rsid w:val="009931E7"/>
    <w:rsid w:val="009939A5"/>
    <w:rsid w:val="00993EDB"/>
    <w:rsid w:val="00994813"/>
    <w:rsid w:val="009954A1"/>
    <w:rsid w:val="00995657"/>
    <w:rsid w:val="00997563"/>
    <w:rsid w:val="009A05E6"/>
    <w:rsid w:val="009A271D"/>
    <w:rsid w:val="009A295C"/>
    <w:rsid w:val="009A45D3"/>
    <w:rsid w:val="009A6FA1"/>
    <w:rsid w:val="009A7791"/>
    <w:rsid w:val="009B0420"/>
    <w:rsid w:val="009B0F6D"/>
    <w:rsid w:val="009B1307"/>
    <w:rsid w:val="009B2A33"/>
    <w:rsid w:val="009B56CB"/>
    <w:rsid w:val="009B653E"/>
    <w:rsid w:val="009B731A"/>
    <w:rsid w:val="009B7A69"/>
    <w:rsid w:val="009C0268"/>
    <w:rsid w:val="009C14AD"/>
    <w:rsid w:val="009C2781"/>
    <w:rsid w:val="009C3F88"/>
    <w:rsid w:val="009C403B"/>
    <w:rsid w:val="009C5808"/>
    <w:rsid w:val="009C6A5A"/>
    <w:rsid w:val="009C7533"/>
    <w:rsid w:val="009C7800"/>
    <w:rsid w:val="009D0462"/>
    <w:rsid w:val="009D0713"/>
    <w:rsid w:val="009D0C6E"/>
    <w:rsid w:val="009D4936"/>
    <w:rsid w:val="009D4D21"/>
    <w:rsid w:val="009D572F"/>
    <w:rsid w:val="009D57C9"/>
    <w:rsid w:val="009D75C0"/>
    <w:rsid w:val="009E00AB"/>
    <w:rsid w:val="009E055F"/>
    <w:rsid w:val="009F0816"/>
    <w:rsid w:val="009F0B84"/>
    <w:rsid w:val="009F12F3"/>
    <w:rsid w:val="009F25C5"/>
    <w:rsid w:val="009F5815"/>
    <w:rsid w:val="009F5AF0"/>
    <w:rsid w:val="009F7B68"/>
    <w:rsid w:val="00A00BDE"/>
    <w:rsid w:val="00A00FFD"/>
    <w:rsid w:val="00A01738"/>
    <w:rsid w:val="00A025DF"/>
    <w:rsid w:val="00A03435"/>
    <w:rsid w:val="00A044E8"/>
    <w:rsid w:val="00A04705"/>
    <w:rsid w:val="00A04DF6"/>
    <w:rsid w:val="00A04F2C"/>
    <w:rsid w:val="00A05338"/>
    <w:rsid w:val="00A05EF3"/>
    <w:rsid w:val="00A0785C"/>
    <w:rsid w:val="00A0790A"/>
    <w:rsid w:val="00A07B02"/>
    <w:rsid w:val="00A1305B"/>
    <w:rsid w:val="00A133ED"/>
    <w:rsid w:val="00A13D59"/>
    <w:rsid w:val="00A146A1"/>
    <w:rsid w:val="00A156BF"/>
    <w:rsid w:val="00A16196"/>
    <w:rsid w:val="00A176B3"/>
    <w:rsid w:val="00A203F0"/>
    <w:rsid w:val="00A20A67"/>
    <w:rsid w:val="00A21529"/>
    <w:rsid w:val="00A22062"/>
    <w:rsid w:val="00A220D5"/>
    <w:rsid w:val="00A2213E"/>
    <w:rsid w:val="00A22CB3"/>
    <w:rsid w:val="00A23192"/>
    <w:rsid w:val="00A23713"/>
    <w:rsid w:val="00A23BA0"/>
    <w:rsid w:val="00A23C7A"/>
    <w:rsid w:val="00A24375"/>
    <w:rsid w:val="00A24E51"/>
    <w:rsid w:val="00A24E63"/>
    <w:rsid w:val="00A24F60"/>
    <w:rsid w:val="00A25DA9"/>
    <w:rsid w:val="00A25ED6"/>
    <w:rsid w:val="00A2646B"/>
    <w:rsid w:val="00A279A0"/>
    <w:rsid w:val="00A27E50"/>
    <w:rsid w:val="00A30C6F"/>
    <w:rsid w:val="00A3131E"/>
    <w:rsid w:val="00A315E6"/>
    <w:rsid w:val="00A31E0F"/>
    <w:rsid w:val="00A326A1"/>
    <w:rsid w:val="00A33577"/>
    <w:rsid w:val="00A337E6"/>
    <w:rsid w:val="00A34469"/>
    <w:rsid w:val="00A34E86"/>
    <w:rsid w:val="00A36FF0"/>
    <w:rsid w:val="00A370D2"/>
    <w:rsid w:val="00A3781C"/>
    <w:rsid w:val="00A418E8"/>
    <w:rsid w:val="00A42F37"/>
    <w:rsid w:val="00A44563"/>
    <w:rsid w:val="00A449C3"/>
    <w:rsid w:val="00A469C6"/>
    <w:rsid w:val="00A50023"/>
    <w:rsid w:val="00A516B6"/>
    <w:rsid w:val="00A52544"/>
    <w:rsid w:val="00A529A0"/>
    <w:rsid w:val="00A52A81"/>
    <w:rsid w:val="00A538DD"/>
    <w:rsid w:val="00A5518F"/>
    <w:rsid w:val="00A57FC2"/>
    <w:rsid w:val="00A608C5"/>
    <w:rsid w:val="00A617A1"/>
    <w:rsid w:val="00A626EF"/>
    <w:rsid w:val="00A63C9C"/>
    <w:rsid w:val="00A64CA3"/>
    <w:rsid w:val="00A657A7"/>
    <w:rsid w:val="00A66ABE"/>
    <w:rsid w:val="00A678AF"/>
    <w:rsid w:val="00A71359"/>
    <w:rsid w:val="00A71D2E"/>
    <w:rsid w:val="00A73914"/>
    <w:rsid w:val="00A73E3F"/>
    <w:rsid w:val="00A74E0A"/>
    <w:rsid w:val="00A76EE8"/>
    <w:rsid w:val="00A77ACB"/>
    <w:rsid w:val="00A80BA8"/>
    <w:rsid w:val="00A814FB"/>
    <w:rsid w:val="00A82D89"/>
    <w:rsid w:val="00A83C2A"/>
    <w:rsid w:val="00A8447C"/>
    <w:rsid w:val="00A85D46"/>
    <w:rsid w:val="00A85E48"/>
    <w:rsid w:val="00A87288"/>
    <w:rsid w:val="00A87CB8"/>
    <w:rsid w:val="00A910A7"/>
    <w:rsid w:val="00A92EAD"/>
    <w:rsid w:val="00AA02C8"/>
    <w:rsid w:val="00AA0B89"/>
    <w:rsid w:val="00AA10B8"/>
    <w:rsid w:val="00AA1F52"/>
    <w:rsid w:val="00AA347F"/>
    <w:rsid w:val="00AA405C"/>
    <w:rsid w:val="00AA5308"/>
    <w:rsid w:val="00AB04F8"/>
    <w:rsid w:val="00AB12BD"/>
    <w:rsid w:val="00AB1C37"/>
    <w:rsid w:val="00AB36D4"/>
    <w:rsid w:val="00AB3E61"/>
    <w:rsid w:val="00AB5C82"/>
    <w:rsid w:val="00AB64D1"/>
    <w:rsid w:val="00AC0331"/>
    <w:rsid w:val="00AC04F0"/>
    <w:rsid w:val="00AC0BA0"/>
    <w:rsid w:val="00AC1213"/>
    <w:rsid w:val="00AC1D0C"/>
    <w:rsid w:val="00AC277D"/>
    <w:rsid w:val="00AC4497"/>
    <w:rsid w:val="00AC611E"/>
    <w:rsid w:val="00AC7D98"/>
    <w:rsid w:val="00AC7F58"/>
    <w:rsid w:val="00AD31E5"/>
    <w:rsid w:val="00AD3FE7"/>
    <w:rsid w:val="00AD4566"/>
    <w:rsid w:val="00AD4BBD"/>
    <w:rsid w:val="00AD59F4"/>
    <w:rsid w:val="00AD74DC"/>
    <w:rsid w:val="00AE0D1C"/>
    <w:rsid w:val="00AE118E"/>
    <w:rsid w:val="00AE134E"/>
    <w:rsid w:val="00AE1B22"/>
    <w:rsid w:val="00AE2530"/>
    <w:rsid w:val="00AE3B58"/>
    <w:rsid w:val="00AE4454"/>
    <w:rsid w:val="00AE4F10"/>
    <w:rsid w:val="00AE6B62"/>
    <w:rsid w:val="00AE7991"/>
    <w:rsid w:val="00AE7C8F"/>
    <w:rsid w:val="00AE7D13"/>
    <w:rsid w:val="00AF27F6"/>
    <w:rsid w:val="00AF2CB1"/>
    <w:rsid w:val="00AF2EBA"/>
    <w:rsid w:val="00AF4BD8"/>
    <w:rsid w:val="00AF645A"/>
    <w:rsid w:val="00AF73CC"/>
    <w:rsid w:val="00B0026B"/>
    <w:rsid w:val="00B00E03"/>
    <w:rsid w:val="00B013B0"/>
    <w:rsid w:val="00B01BC7"/>
    <w:rsid w:val="00B02010"/>
    <w:rsid w:val="00B042C4"/>
    <w:rsid w:val="00B04CAA"/>
    <w:rsid w:val="00B05D9C"/>
    <w:rsid w:val="00B0666B"/>
    <w:rsid w:val="00B071F4"/>
    <w:rsid w:val="00B10B75"/>
    <w:rsid w:val="00B12FF5"/>
    <w:rsid w:val="00B14797"/>
    <w:rsid w:val="00B15EC5"/>
    <w:rsid w:val="00B20461"/>
    <w:rsid w:val="00B2091B"/>
    <w:rsid w:val="00B238A6"/>
    <w:rsid w:val="00B24141"/>
    <w:rsid w:val="00B241E2"/>
    <w:rsid w:val="00B241EC"/>
    <w:rsid w:val="00B30EA9"/>
    <w:rsid w:val="00B31B31"/>
    <w:rsid w:val="00B32AA0"/>
    <w:rsid w:val="00B33C4E"/>
    <w:rsid w:val="00B33E3F"/>
    <w:rsid w:val="00B36534"/>
    <w:rsid w:val="00B3682B"/>
    <w:rsid w:val="00B36FFC"/>
    <w:rsid w:val="00B37B39"/>
    <w:rsid w:val="00B42A73"/>
    <w:rsid w:val="00B42DE5"/>
    <w:rsid w:val="00B4546F"/>
    <w:rsid w:val="00B458F6"/>
    <w:rsid w:val="00B468F7"/>
    <w:rsid w:val="00B47062"/>
    <w:rsid w:val="00B47321"/>
    <w:rsid w:val="00B505D0"/>
    <w:rsid w:val="00B509CC"/>
    <w:rsid w:val="00B50D94"/>
    <w:rsid w:val="00B5137A"/>
    <w:rsid w:val="00B519D9"/>
    <w:rsid w:val="00B5286A"/>
    <w:rsid w:val="00B53185"/>
    <w:rsid w:val="00B54439"/>
    <w:rsid w:val="00B54FCF"/>
    <w:rsid w:val="00B565D2"/>
    <w:rsid w:val="00B56F5B"/>
    <w:rsid w:val="00B579AB"/>
    <w:rsid w:val="00B647F7"/>
    <w:rsid w:val="00B65972"/>
    <w:rsid w:val="00B707A6"/>
    <w:rsid w:val="00B710F4"/>
    <w:rsid w:val="00B7304A"/>
    <w:rsid w:val="00B751A3"/>
    <w:rsid w:val="00B763DD"/>
    <w:rsid w:val="00B777B6"/>
    <w:rsid w:val="00B8013C"/>
    <w:rsid w:val="00B80747"/>
    <w:rsid w:val="00B80AB8"/>
    <w:rsid w:val="00B810D0"/>
    <w:rsid w:val="00B814BF"/>
    <w:rsid w:val="00B81FC8"/>
    <w:rsid w:val="00B82050"/>
    <w:rsid w:val="00B833E9"/>
    <w:rsid w:val="00B84A59"/>
    <w:rsid w:val="00B85160"/>
    <w:rsid w:val="00B8541A"/>
    <w:rsid w:val="00B86A1B"/>
    <w:rsid w:val="00B86DB4"/>
    <w:rsid w:val="00B86FB7"/>
    <w:rsid w:val="00B8787E"/>
    <w:rsid w:val="00B9008A"/>
    <w:rsid w:val="00B90855"/>
    <w:rsid w:val="00B924F0"/>
    <w:rsid w:val="00B9330A"/>
    <w:rsid w:val="00B940A5"/>
    <w:rsid w:val="00B94F3F"/>
    <w:rsid w:val="00B96376"/>
    <w:rsid w:val="00B96948"/>
    <w:rsid w:val="00BA0001"/>
    <w:rsid w:val="00BA02C3"/>
    <w:rsid w:val="00BA196B"/>
    <w:rsid w:val="00BA1BF6"/>
    <w:rsid w:val="00BA45BD"/>
    <w:rsid w:val="00BA4FEA"/>
    <w:rsid w:val="00BA7699"/>
    <w:rsid w:val="00BA7B1A"/>
    <w:rsid w:val="00BB200B"/>
    <w:rsid w:val="00BB296C"/>
    <w:rsid w:val="00BB3CFB"/>
    <w:rsid w:val="00BB3FB4"/>
    <w:rsid w:val="00BC1354"/>
    <w:rsid w:val="00BC4B6B"/>
    <w:rsid w:val="00BC5364"/>
    <w:rsid w:val="00BC558B"/>
    <w:rsid w:val="00BC59BF"/>
    <w:rsid w:val="00BC702C"/>
    <w:rsid w:val="00BC7523"/>
    <w:rsid w:val="00BC7B00"/>
    <w:rsid w:val="00BC7F79"/>
    <w:rsid w:val="00BD197E"/>
    <w:rsid w:val="00BD3482"/>
    <w:rsid w:val="00BD36E3"/>
    <w:rsid w:val="00BD4A6A"/>
    <w:rsid w:val="00BD4D7B"/>
    <w:rsid w:val="00BD649B"/>
    <w:rsid w:val="00BD7C96"/>
    <w:rsid w:val="00BE04FE"/>
    <w:rsid w:val="00BE0D38"/>
    <w:rsid w:val="00BE4A62"/>
    <w:rsid w:val="00BF06E1"/>
    <w:rsid w:val="00BF0D0B"/>
    <w:rsid w:val="00BF2B0B"/>
    <w:rsid w:val="00BF4B0D"/>
    <w:rsid w:val="00BF5B43"/>
    <w:rsid w:val="00BF7224"/>
    <w:rsid w:val="00C01949"/>
    <w:rsid w:val="00C01D11"/>
    <w:rsid w:val="00C027FB"/>
    <w:rsid w:val="00C02C05"/>
    <w:rsid w:val="00C04DFF"/>
    <w:rsid w:val="00C05357"/>
    <w:rsid w:val="00C057C7"/>
    <w:rsid w:val="00C07496"/>
    <w:rsid w:val="00C074A4"/>
    <w:rsid w:val="00C07AB7"/>
    <w:rsid w:val="00C108C2"/>
    <w:rsid w:val="00C10F5D"/>
    <w:rsid w:val="00C11A83"/>
    <w:rsid w:val="00C12283"/>
    <w:rsid w:val="00C1274F"/>
    <w:rsid w:val="00C12F3A"/>
    <w:rsid w:val="00C144B7"/>
    <w:rsid w:val="00C177D9"/>
    <w:rsid w:val="00C17ADD"/>
    <w:rsid w:val="00C17C01"/>
    <w:rsid w:val="00C20145"/>
    <w:rsid w:val="00C2032A"/>
    <w:rsid w:val="00C209BA"/>
    <w:rsid w:val="00C224B4"/>
    <w:rsid w:val="00C2281A"/>
    <w:rsid w:val="00C23494"/>
    <w:rsid w:val="00C23B96"/>
    <w:rsid w:val="00C24BF4"/>
    <w:rsid w:val="00C25F6B"/>
    <w:rsid w:val="00C26023"/>
    <w:rsid w:val="00C264C0"/>
    <w:rsid w:val="00C304AF"/>
    <w:rsid w:val="00C31527"/>
    <w:rsid w:val="00C31F40"/>
    <w:rsid w:val="00C32F58"/>
    <w:rsid w:val="00C35377"/>
    <w:rsid w:val="00C36DDE"/>
    <w:rsid w:val="00C36FA4"/>
    <w:rsid w:val="00C40BAA"/>
    <w:rsid w:val="00C41C1F"/>
    <w:rsid w:val="00C42DD5"/>
    <w:rsid w:val="00C43B94"/>
    <w:rsid w:val="00C46174"/>
    <w:rsid w:val="00C503B1"/>
    <w:rsid w:val="00C50AFB"/>
    <w:rsid w:val="00C52D0D"/>
    <w:rsid w:val="00C536A0"/>
    <w:rsid w:val="00C552AA"/>
    <w:rsid w:val="00C57BF9"/>
    <w:rsid w:val="00C6195E"/>
    <w:rsid w:val="00C62DD7"/>
    <w:rsid w:val="00C64182"/>
    <w:rsid w:val="00C64203"/>
    <w:rsid w:val="00C643B5"/>
    <w:rsid w:val="00C652BD"/>
    <w:rsid w:val="00C6755D"/>
    <w:rsid w:val="00C675EA"/>
    <w:rsid w:val="00C75A74"/>
    <w:rsid w:val="00C7661E"/>
    <w:rsid w:val="00C80FAA"/>
    <w:rsid w:val="00C810B5"/>
    <w:rsid w:val="00C810C6"/>
    <w:rsid w:val="00C81115"/>
    <w:rsid w:val="00C823E9"/>
    <w:rsid w:val="00C82D73"/>
    <w:rsid w:val="00C840FF"/>
    <w:rsid w:val="00C84E8C"/>
    <w:rsid w:val="00C86864"/>
    <w:rsid w:val="00C86C47"/>
    <w:rsid w:val="00C87607"/>
    <w:rsid w:val="00C87A2C"/>
    <w:rsid w:val="00C90F30"/>
    <w:rsid w:val="00C91BB5"/>
    <w:rsid w:val="00C91D46"/>
    <w:rsid w:val="00C92F26"/>
    <w:rsid w:val="00C94A78"/>
    <w:rsid w:val="00C9594D"/>
    <w:rsid w:val="00C96D36"/>
    <w:rsid w:val="00C9702B"/>
    <w:rsid w:val="00CA2074"/>
    <w:rsid w:val="00CA2B4A"/>
    <w:rsid w:val="00CA413B"/>
    <w:rsid w:val="00CA58C8"/>
    <w:rsid w:val="00CA5D34"/>
    <w:rsid w:val="00CA727F"/>
    <w:rsid w:val="00CA7BF7"/>
    <w:rsid w:val="00CB03E9"/>
    <w:rsid w:val="00CB07FA"/>
    <w:rsid w:val="00CB618F"/>
    <w:rsid w:val="00CC0D8A"/>
    <w:rsid w:val="00CC21BF"/>
    <w:rsid w:val="00CC3813"/>
    <w:rsid w:val="00CC3A2B"/>
    <w:rsid w:val="00CC423F"/>
    <w:rsid w:val="00CC4CF9"/>
    <w:rsid w:val="00CC7C62"/>
    <w:rsid w:val="00CC7E78"/>
    <w:rsid w:val="00CD0206"/>
    <w:rsid w:val="00CD0FB6"/>
    <w:rsid w:val="00CD30B2"/>
    <w:rsid w:val="00CD5D56"/>
    <w:rsid w:val="00CD78FC"/>
    <w:rsid w:val="00CD7A6C"/>
    <w:rsid w:val="00CE0434"/>
    <w:rsid w:val="00CE26B4"/>
    <w:rsid w:val="00CE401B"/>
    <w:rsid w:val="00CE6561"/>
    <w:rsid w:val="00CE67C3"/>
    <w:rsid w:val="00CE67E2"/>
    <w:rsid w:val="00CE7AAE"/>
    <w:rsid w:val="00CF01C1"/>
    <w:rsid w:val="00CF15D1"/>
    <w:rsid w:val="00CF2D7F"/>
    <w:rsid w:val="00CF2F5B"/>
    <w:rsid w:val="00CF33D8"/>
    <w:rsid w:val="00CF3FA3"/>
    <w:rsid w:val="00CF4E6B"/>
    <w:rsid w:val="00CF60D0"/>
    <w:rsid w:val="00CF630D"/>
    <w:rsid w:val="00CF7762"/>
    <w:rsid w:val="00CF7CF2"/>
    <w:rsid w:val="00D01D03"/>
    <w:rsid w:val="00D02C79"/>
    <w:rsid w:val="00D03983"/>
    <w:rsid w:val="00D04271"/>
    <w:rsid w:val="00D044E3"/>
    <w:rsid w:val="00D066B0"/>
    <w:rsid w:val="00D07BCB"/>
    <w:rsid w:val="00D137B4"/>
    <w:rsid w:val="00D13B77"/>
    <w:rsid w:val="00D146DB"/>
    <w:rsid w:val="00D16F61"/>
    <w:rsid w:val="00D17D01"/>
    <w:rsid w:val="00D20BF7"/>
    <w:rsid w:val="00D25ACD"/>
    <w:rsid w:val="00D30280"/>
    <w:rsid w:val="00D30CC1"/>
    <w:rsid w:val="00D31B40"/>
    <w:rsid w:val="00D32EB0"/>
    <w:rsid w:val="00D33F50"/>
    <w:rsid w:val="00D34608"/>
    <w:rsid w:val="00D34DFA"/>
    <w:rsid w:val="00D3577A"/>
    <w:rsid w:val="00D3653B"/>
    <w:rsid w:val="00D4008B"/>
    <w:rsid w:val="00D41981"/>
    <w:rsid w:val="00D457D9"/>
    <w:rsid w:val="00D47626"/>
    <w:rsid w:val="00D50B1E"/>
    <w:rsid w:val="00D519F1"/>
    <w:rsid w:val="00D51F01"/>
    <w:rsid w:val="00D52511"/>
    <w:rsid w:val="00D53EDA"/>
    <w:rsid w:val="00D560B3"/>
    <w:rsid w:val="00D56EFA"/>
    <w:rsid w:val="00D57377"/>
    <w:rsid w:val="00D579A8"/>
    <w:rsid w:val="00D622EE"/>
    <w:rsid w:val="00D63546"/>
    <w:rsid w:val="00D6373C"/>
    <w:rsid w:val="00D6596B"/>
    <w:rsid w:val="00D65CCF"/>
    <w:rsid w:val="00D7006D"/>
    <w:rsid w:val="00D71E0C"/>
    <w:rsid w:val="00D723D5"/>
    <w:rsid w:val="00D72F23"/>
    <w:rsid w:val="00D73F99"/>
    <w:rsid w:val="00D741E3"/>
    <w:rsid w:val="00D74509"/>
    <w:rsid w:val="00D74F19"/>
    <w:rsid w:val="00D76A4F"/>
    <w:rsid w:val="00D80C6B"/>
    <w:rsid w:val="00D80CB3"/>
    <w:rsid w:val="00D8493A"/>
    <w:rsid w:val="00D87B52"/>
    <w:rsid w:val="00D90F0B"/>
    <w:rsid w:val="00D9115E"/>
    <w:rsid w:val="00D9173A"/>
    <w:rsid w:val="00D924B2"/>
    <w:rsid w:val="00D95BE0"/>
    <w:rsid w:val="00D95CFE"/>
    <w:rsid w:val="00D966F5"/>
    <w:rsid w:val="00D96F9E"/>
    <w:rsid w:val="00D97382"/>
    <w:rsid w:val="00D97769"/>
    <w:rsid w:val="00DA0AFF"/>
    <w:rsid w:val="00DA120F"/>
    <w:rsid w:val="00DA1AD5"/>
    <w:rsid w:val="00DA1ADA"/>
    <w:rsid w:val="00DA23EB"/>
    <w:rsid w:val="00DA297C"/>
    <w:rsid w:val="00DA29DB"/>
    <w:rsid w:val="00DA335A"/>
    <w:rsid w:val="00DA50F1"/>
    <w:rsid w:val="00DA5E2D"/>
    <w:rsid w:val="00DA69B8"/>
    <w:rsid w:val="00DA7AB1"/>
    <w:rsid w:val="00DB106D"/>
    <w:rsid w:val="00DB12DA"/>
    <w:rsid w:val="00DB2C86"/>
    <w:rsid w:val="00DB36B6"/>
    <w:rsid w:val="00DB45AE"/>
    <w:rsid w:val="00DB4CE9"/>
    <w:rsid w:val="00DB5480"/>
    <w:rsid w:val="00DB67EA"/>
    <w:rsid w:val="00DB76D6"/>
    <w:rsid w:val="00DB7CDC"/>
    <w:rsid w:val="00DC0C05"/>
    <w:rsid w:val="00DC0CA2"/>
    <w:rsid w:val="00DC1507"/>
    <w:rsid w:val="00DC5974"/>
    <w:rsid w:val="00DD04A8"/>
    <w:rsid w:val="00DD1E28"/>
    <w:rsid w:val="00DD22EF"/>
    <w:rsid w:val="00DD2BC5"/>
    <w:rsid w:val="00DD3582"/>
    <w:rsid w:val="00DD39F9"/>
    <w:rsid w:val="00DD3D4E"/>
    <w:rsid w:val="00DD50C5"/>
    <w:rsid w:val="00DD546A"/>
    <w:rsid w:val="00DD7B3D"/>
    <w:rsid w:val="00DE0B7E"/>
    <w:rsid w:val="00DE0B81"/>
    <w:rsid w:val="00DE14DF"/>
    <w:rsid w:val="00DE3152"/>
    <w:rsid w:val="00DE32C0"/>
    <w:rsid w:val="00DE51D0"/>
    <w:rsid w:val="00DE5757"/>
    <w:rsid w:val="00DE6D01"/>
    <w:rsid w:val="00DE72B8"/>
    <w:rsid w:val="00DF0AAA"/>
    <w:rsid w:val="00DF0F93"/>
    <w:rsid w:val="00DF1009"/>
    <w:rsid w:val="00DF39B2"/>
    <w:rsid w:val="00DF7C2B"/>
    <w:rsid w:val="00E01695"/>
    <w:rsid w:val="00E02CE7"/>
    <w:rsid w:val="00E04311"/>
    <w:rsid w:val="00E064A8"/>
    <w:rsid w:val="00E06669"/>
    <w:rsid w:val="00E07323"/>
    <w:rsid w:val="00E07982"/>
    <w:rsid w:val="00E079EF"/>
    <w:rsid w:val="00E07A27"/>
    <w:rsid w:val="00E10712"/>
    <w:rsid w:val="00E10720"/>
    <w:rsid w:val="00E10C87"/>
    <w:rsid w:val="00E125CC"/>
    <w:rsid w:val="00E12816"/>
    <w:rsid w:val="00E14065"/>
    <w:rsid w:val="00E15FE5"/>
    <w:rsid w:val="00E16975"/>
    <w:rsid w:val="00E20794"/>
    <w:rsid w:val="00E21A4D"/>
    <w:rsid w:val="00E236A5"/>
    <w:rsid w:val="00E24429"/>
    <w:rsid w:val="00E26883"/>
    <w:rsid w:val="00E26D1D"/>
    <w:rsid w:val="00E270D6"/>
    <w:rsid w:val="00E27541"/>
    <w:rsid w:val="00E27964"/>
    <w:rsid w:val="00E27B64"/>
    <w:rsid w:val="00E30AEE"/>
    <w:rsid w:val="00E3515E"/>
    <w:rsid w:val="00E353A0"/>
    <w:rsid w:val="00E363D1"/>
    <w:rsid w:val="00E40006"/>
    <w:rsid w:val="00E40A4F"/>
    <w:rsid w:val="00E4100A"/>
    <w:rsid w:val="00E465CF"/>
    <w:rsid w:val="00E50C7C"/>
    <w:rsid w:val="00E51E43"/>
    <w:rsid w:val="00E51F44"/>
    <w:rsid w:val="00E559F7"/>
    <w:rsid w:val="00E56340"/>
    <w:rsid w:val="00E56965"/>
    <w:rsid w:val="00E57448"/>
    <w:rsid w:val="00E57D7B"/>
    <w:rsid w:val="00E6031B"/>
    <w:rsid w:val="00E6206B"/>
    <w:rsid w:val="00E62B87"/>
    <w:rsid w:val="00E64CBC"/>
    <w:rsid w:val="00E65B2B"/>
    <w:rsid w:val="00E70862"/>
    <w:rsid w:val="00E73AFD"/>
    <w:rsid w:val="00E747D4"/>
    <w:rsid w:val="00E7713C"/>
    <w:rsid w:val="00E77271"/>
    <w:rsid w:val="00E81747"/>
    <w:rsid w:val="00E8292D"/>
    <w:rsid w:val="00E83D74"/>
    <w:rsid w:val="00E84B27"/>
    <w:rsid w:val="00E87C04"/>
    <w:rsid w:val="00E87E85"/>
    <w:rsid w:val="00E87FBD"/>
    <w:rsid w:val="00E91CAF"/>
    <w:rsid w:val="00E922B5"/>
    <w:rsid w:val="00E92E3E"/>
    <w:rsid w:val="00E9319E"/>
    <w:rsid w:val="00E93AD2"/>
    <w:rsid w:val="00E94F47"/>
    <w:rsid w:val="00E96B0B"/>
    <w:rsid w:val="00E97F03"/>
    <w:rsid w:val="00E97F6C"/>
    <w:rsid w:val="00EA043E"/>
    <w:rsid w:val="00EA23CB"/>
    <w:rsid w:val="00EA247B"/>
    <w:rsid w:val="00EA2B66"/>
    <w:rsid w:val="00EA31DD"/>
    <w:rsid w:val="00EA4B10"/>
    <w:rsid w:val="00EA5129"/>
    <w:rsid w:val="00EA53BD"/>
    <w:rsid w:val="00EA644C"/>
    <w:rsid w:val="00EA6DDE"/>
    <w:rsid w:val="00EA79BC"/>
    <w:rsid w:val="00EB18C7"/>
    <w:rsid w:val="00EB332D"/>
    <w:rsid w:val="00EB442B"/>
    <w:rsid w:val="00EB5193"/>
    <w:rsid w:val="00EB5C88"/>
    <w:rsid w:val="00EB6833"/>
    <w:rsid w:val="00EB7621"/>
    <w:rsid w:val="00EC00EE"/>
    <w:rsid w:val="00EC0A46"/>
    <w:rsid w:val="00EC0D1D"/>
    <w:rsid w:val="00EC128A"/>
    <w:rsid w:val="00EC4273"/>
    <w:rsid w:val="00EC4432"/>
    <w:rsid w:val="00EC4D46"/>
    <w:rsid w:val="00EC5150"/>
    <w:rsid w:val="00EC5587"/>
    <w:rsid w:val="00EC5B78"/>
    <w:rsid w:val="00ED27EB"/>
    <w:rsid w:val="00ED2816"/>
    <w:rsid w:val="00ED512B"/>
    <w:rsid w:val="00ED55C4"/>
    <w:rsid w:val="00ED68CD"/>
    <w:rsid w:val="00EE056A"/>
    <w:rsid w:val="00EE0FBD"/>
    <w:rsid w:val="00EE1FA6"/>
    <w:rsid w:val="00EE2A0A"/>
    <w:rsid w:val="00EE3D99"/>
    <w:rsid w:val="00EE4919"/>
    <w:rsid w:val="00EE4F73"/>
    <w:rsid w:val="00EE5C1B"/>
    <w:rsid w:val="00EE6122"/>
    <w:rsid w:val="00EE6F2E"/>
    <w:rsid w:val="00EE7BB5"/>
    <w:rsid w:val="00EF0971"/>
    <w:rsid w:val="00EF1B36"/>
    <w:rsid w:val="00EF2208"/>
    <w:rsid w:val="00EF52D5"/>
    <w:rsid w:val="00EF583E"/>
    <w:rsid w:val="00EF5859"/>
    <w:rsid w:val="00EF59CF"/>
    <w:rsid w:val="00EF5D44"/>
    <w:rsid w:val="00EF61B8"/>
    <w:rsid w:val="00EF6DB7"/>
    <w:rsid w:val="00EF7BDD"/>
    <w:rsid w:val="00F01465"/>
    <w:rsid w:val="00F016CD"/>
    <w:rsid w:val="00F0255E"/>
    <w:rsid w:val="00F02C19"/>
    <w:rsid w:val="00F032BB"/>
    <w:rsid w:val="00F04114"/>
    <w:rsid w:val="00F057B5"/>
    <w:rsid w:val="00F058BC"/>
    <w:rsid w:val="00F077F0"/>
    <w:rsid w:val="00F10E40"/>
    <w:rsid w:val="00F1185F"/>
    <w:rsid w:val="00F12F49"/>
    <w:rsid w:val="00F133BD"/>
    <w:rsid w:val="00F13847"/>
    <w:rsid w:val="00F1582B"/>
    <w:rsid w:val="00F15971"/>
    <w:rsid w:val="00F20658"/>
    <w:rsid w:val="00F21733"/>
    <w:rsid w:val="00F22CB8"/>
    <w:rsid w:val="00F232B9"/>
    <w:rsid w:val="00F24A8B"/>
    <w:rsid w:val="00F26154"/>
    <w:rsid w:val="00F268EE"/>
    <w:rsid w:val="00F2693B"/>
    <w:rsid w:val="00F30E62"/>
    <w:rsid w:val="00F311D1"/>
    <w:rsid w:val="00F314F1"/>
    <w:rsid w:val="00F31EFF"/>
    <w:rsid w:val="00F32782"/>
    <w:rsid w:val="00F338B2"/>
    <w:rsid w:val="00F33CC2"/>
    <w:rsid w:val="00F37F1D"/>
    <w:rsid w:val="00F4021C"/>
    <w:rsid w:val="00F409EC"/>
    <w:rsid w:val="00F435E4"/>
    <w:rsid w:val="00F4544C"/>
    <w:rsid w:val="00F4652B"/>
    <w:rsid w:val="00F50658"/>
    <w:rsid w:val="00F50810"/>
    <w:rsid w:val="00F508A5"/>
    <w:rsid w:val="00F5141D"/>
    <w:rsid w:val="00F51B11"/>
    <w:rsid w:val="00F5249D"/>
    <w:rsid w:val="00F529C8"/>
    <w:rsid w:val="00F53644"/>
    <w:rsid w:val="00F53797"/>
    <w:rsid w:val="00F554C0"/>
    <w:rsid w:val="00F55CDF"/>
    <w:rsid w:val="00F5663F"/>
    <w:rsid w:val="00F56A44"/>
    <w:rsid w:val="00F56CCE"/>
    <w:rsid w:val="00F639B4"/>
    <w:rsid w:val="00F64678"/>
    <w:rsid w:val="00F64824"/>
    <w:rsid w:val="00F650D8"/>
    <w:rsid w:val="00F65B84"/>
    <w:rsid w:val="00F67AF5"/>
    <w:rsid w:val="00F719BC"/>
    <w:rsid w:val="00F72B18"/>
    <w:rsid w:val="00F72BEA"/>
    <w:rsid w:val="00F730D9"/>
    <w:rsid w:val="00F731D1"/>
    <w:rsid w:val="00F75AD0"/>
    <w:rsid w:val="00F75B4C"/>
    <w:rsid w:val="00F76F33"/>
    <w:rsid w:val="00F7774D"/>
    <w:rsid w:val="00F7774F"/>
    <w:rsid w:val="00F77804"/>
    <w:rsid w:val="00F77D30"/>
    <w:rsid w:val="00F80DAC"/>
    <w:rsid w:val="00F81F83"/>
    <w:rsid w:val="00F8287E"/>
    <w:rsid w:val="00F83059"/>
    <w:rsid w:val="00F834CC"/>
    <w:rsid w:val="00F86C76"/>
    <w:rsid w:val="00F90750"/>
    <w:rsid w:val="00F909E7"/>
    <w:rsid w:val="00F90C45"/>
    <w:rsid w:val="00F9182A"/>
    <w:rsid w:val="00F9241C"/>
    <w:rsid w:val="00F92899"/>
    <w:rsid w:val="00F9315D"/>
    <w:rsid w:val="00F945BC"/>
    <w:rsid w:val="00F94982"/>
    <w:rsid w:val="00F95C61"/>
    <w:rsid w:val="00F960BE"/>
    <w:rsid w:val="00F96A60"/>
    <w:rsid w:val="00F96BA8"/>
    <w:rsid w:val="00F97300"/>
    <w:rsid w:val="00F97D8F"/>
    <w:rsid w:val="00FA25E0"/>
    <w:rsid w:val="00FA26B7"/>
    <w:rsid w:val="00FA286B"/>
    <w:rsid w:val="00FA35D7"/>
    <w:rsid w:val="00FA5320"/>
    <w:rsid w:val="00FA579C"/>
    <w:rsid w:val="00FA593A"/>
    <w:rsid w:val="00FA5CA3"/>
    <w:rsid w:val="00FA6FD3"/>
    <w:rsid w:val="00FA7271"/>
    <w:rsid w:val="00FA75F0"/>
    <w:rsid w:val="00FB1BFA"/>
    <w:rsid w:val="00FB2978"/>
    <w:rsid w:val="00FB2C7C"/>
    <w:rsid w:val="00FB43A1"/>
    <w:rsid w:val="00FB4755"/>
    <w:rsid w:val="00FB51DB"/>
    <w:rsid w:val="00FB6534"/>
    <w:rsid w:val="00FC2051"/>
    <w:rsid w:val="00FC5204"/>
    <w:rsid w:val="00FC52AF"/>
    <w:rsid w:val="00FC5BD6"/>
    <w:rsid w:val="00FC5D83"/>
    <w:rsid w:val="00FC661E"/>
    <w:rsid w:val="00FC6790"/>
    <w:rsid w:val="00FC6C0F"/>
    <w:rsid w:val="00FD34F6"/>
    <w:rsid w:val="00FD3FAA"/>
    <w:rsid w:val="00FD4349"/>
    <w:rsid w:val="00FD4692"/>
    <w:rsid w:val="00FD589D"/>
    <w:rsid w:val="00FD722F"/>
    <w:rsid w:val="00FD72DC"/>
    <w:rsid w:val="00FE0FFA"/>
    <w:rsid w:val="00FE1BCC"/>
    <w:rsid w:val="00FE1D54"/>
    <w:rsid w:val="00FE2799"/>
    <w:rsid w:val="00FE2D0C"/>
    <w:rsid w:val="00FE2DD2"/>
    <w:rsid w:val="00FE31CC"/>
    <w:rsid w:val="00FE4795"/>
    <w:rsid w:val="00FE6C05"/>
    <w:rsid w:val="00FE715D"/>
    <w:rsid w:val="00FF0290"/>
    <w:rsid w:val="00FF19A6"/>
    <w:rsid w:val="00FF27A8"/>
    <w:rsid w:val="00FF308F"/>
    <w:rsid w:val="00FF4808"/>
    <w:rsid w:val="00FF4AE9"/>
    <w:rsid w:val="00FF4E7B"/>
    <w:rsid w:val="00FF6BD3"/>
    <w:rsid w:val="00FF6F0A"/>
    <w:rsid w:val="00FF71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B0560"/>
  <w15:chartTrackingRefBased/>
  <w15:docId w15:val="{C5014664-E74B-452C-B4A3-3D232C9E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584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082B97"/>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aliases w:val="Raport roczny Char,Przypisy Char"/>
    <w:link w:val="NoSpacing"/>
    <w:locked/>
    <w:rsid w:val="001A7362"/>
    <w:rPr>
      <w:rFonts w:ascii="Verdana" w:hAnsi="Verdana" w:cs="Times New Roman"/>
      <w:color w:val="404044"/>
      <w:sz w:val="16"/>
      <w:szCs w:val="20"/>
    </w:rPr>
  </w:style>
  <w:style w:type="paragraph" w:styleId="NoSpacing">
    <w:name w:val="No Spacing"/>
    <w:aliases w:val="Raport roczny,Przypisy"/>
    <w:basedOn w:val="Normal"/>
    <w:link w:val="NoSpacingChar"/>
    <w:qFormat/>
    <w:rsid w:val="001A7362"/>
    <w:pPr>
      <w:spacing w:line="288" w:lineRule="auto"/>
      <w:jc w:val="both"/>
    </w:pPr>
    <w:rPr>
      <w:rFonts w:ascii="Verdana" w:hAnsi="Verdana" w:cs="Times New Roman"/>
      <w:color w:val="404044"/>
      <w:sz w:val="16"/>
      <w:szCs w:val="20"/>
    </w:rPr>
  </w:style>
  <w:style w:type="paragraph" w:customStyle="1" w:styleId="Default">
    <w:name w:val="Default"/>
    <w:rsid w:val="00EE4919"/>
    <w:pPr>
      <w:autoSpaceDE w:val="0"/>
      <w:autoSpaceDN w:val="0"/>
      <w:adjustRightInd w:val="0"/>
      <w:spacing w:after="0" w:line="240" w:lineRule="auto"/>
    </w:pPr>
    <w:rPr>
      <w:rFonts w:ascii="Verdana" w:hAnsi="Verdana" w:cs="Verdana"/>
      <w:color w:val="000000"/>
      <w:sz w:val="24"/>
      <w:szCs w:val="24"/>
    </w:rPr>
  </w:style>
  <w:style w:type="paragraph" w:styleId="BalloonText">
    <w:name w:val="Balloon Text"/>
    <w:basedOn w:val="Normal"/>
    <w:link w:val="BalloonTextChar"/>
    <w:uiPriority w:val="99"/>
    <w:semiHidden/>
    <w:unhideWhenUsed/>
    <w:rsid w:val="000544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45B"/>
    <w:rPr>
      <w:rFonts w:ascii="Segoe UI" w:hAnsi="Segoe UI" w:cs="Segoe UI"/>
      <w:sz w:val="18"/>
      <w:szCs w:val="18"/>
    </w:rPr>
  </w:style>
  <w:style w:type="character" w:styleId="CommentReference">
    <w:name w:val="annotation reference"/>
    <w:basedOn w:val="DefaultParagraphFont"/>
    <w:uiPriority w:val="99"/>
    <w:semiHidden/>
    <w:unhideWhenUsed/>
    <w:rsid w:val="00F268EE"/>
    <w:rPr>
      <w:sz w:val="16"/>
      <w:szCs w:val="16"/>
    </w:rPr>
  </w:style>
  <w:style w:type="paragraph" w:styleId="CommentText">
    <w:name w:val="annotation text"/>
    <w:basedOn w:val="Normal"/>
    <w:link w:val="CommentTextChar"/>
    <w:uiPriority w:val="99"/>
    <w:unhideWhenUsed/>
    <w:rsid w:val="00F268EE"/>
    <w:pPr>
      <w:spacing w:line="240" w:lineRule="auto"/>
    </w:pPr>
    <w:rPr>
      <w:sz w:val="20"/>
      <w:szCs w:val="20"/>
    </w:rPr>
  </w:style>
  <w:style w:type="character" w:customStyle="1" w:styleId="CommentTextChar">
    <w:name w:val="Comment Text Char"/>
    <w:basedOn w:val="DefaultParagraphFont"/>
    <w:link w:val="CommentText"/>
    <w:uiPriority w:val="99"/>
    <w:rsid w:val="00F268EE"/>
    <w:rPr>
      <w:sz w:val="20"/>
      <w:szCs w:val="20"/>
    </w:rPr>
  </w:style>
  <w:style w:type="paragraph" w:styleId="CommentSubject">
    <w:name w:val="annotation subject"/>
    <w:basedOn w:val="CommentText"/>
    <w:next w:val="CommentText"/>
    <w:link w:val="CommentSubjectChar"/>
    <w:uiPriority w:val="99"/>
    <w:semiHidden/>
    <w:unhideWhenUsed/>
    <w:rsid w:val="00F268EE"/>
    <w:rPr>
      <w:b/>
      <w:bCs/>
    </w:rPr>
  </w:style>
  <w:style w:type="character" w:customStyle="1" w:styleId="CommentSubjectChar">
    <w:name w:val="Comment Subject Char"/>
    <w:basedOn w:val="CommentTextChar"/>
    <w:link w:val="CommentSubject"/>
    <w:uiPriority w:val="99"/>
    <w:semiHidden/>
    <w:rsid w:val="00F268EE"/>
    <w:rPr>
      <w:b/>
      <w:bCs/>
      <w:sz w:val="20"/>
      <w:szCs w:val="20"/>
    </w:rPr>
  </w:style>
  <w:style w:type="paragraph" w:styleId="NormalWeb">
    <w:name w:val="Normal (Web)"/>
    <w:basedOn w:val="Normal"/>
    <w:uiPriority w:val="99"/>
    <w:unhideWhenUsed/>
    <w:rsid w:val="001C417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Emphasis">
    <w:name w:val="Emphasis"/>
    <w:basedOn w:val="DefaultParagraphFont"/>
    <w:uiPriority w:val="20"/>
    <w:qFormat/>
    <w:rsid w:val="00082B97"/>
    <w:rPr>
      <w:i/>
      <w:iCs/>
    </w:rPr>
  </w:style>
  <w:style w:type="character" w:customStyle="1" w:styleId="Heading2Char">
    <w:name w:val="Heading 2 Char"/>
    <w:basedOn w:val="DefaultParagraphFont"/>
    <w:link w:val="Heading2"/>
    <w:uiPriority w:val="9"/>
    <w:rsid w:val="00082B97"/>
    <w:rPr>
      <w:rFonts w:ascii="Times New Roman" w:eastAsia="Times New Roman" w:hAnsi="Times New Roman" w:cs="Times New Roman"/>
      <w:b/>
      <w:bCs/>
      <w:sz w:val="36"/>
      <w:szCs w:val="36"/>
      <w:lang w:eastAsia="pl-PL"/>
    </w:rPr>
  </w:style>
  <w:style w:type="character" w:styleId="Strong">
    <w:name w:val="Strong"/>
    <w:basedOn w:val="DefaultParagraphFont"/>
    <w:uiPriority w:val="22"/>
    <w:qFormat/>
    <w:rsid w:val="00884597"/>
    <w:rPr>
      <w:b/>
      <w:bCs/>
    </w:rPr>
  </w:style>
  <w:style w:type="paragraph" w:styleId="EndnoteText">
    <w:name w:val="endnote text"/>
    <w:basedOn w:val="Normal"/>
    <w:link w:val="EndnoteTextChar"/>
    <w:uiPriority w:val="99"/>
    <w:semiHidden/>
    <w:unhideWhenUsed/>
    <w:rsid w:val="00B84A5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4A59"/>
    <w:rPr>
      <w:sz w:val="20"/>
      <w:szCs w:val="20"/>
    </w:rPr>
  </w:style>
  <w:style w:type="character" w:styleId="EndnoteReference">
    <w:name w:val="endnote reference"/>
    <w:basedOn w:val="DefaultParagraphFont"/>
    <w:uiPriority w:val="99"/>
    <w:semiHidden/>
    <w:unhideWhenUsed/>
    <w:rsid w:val="00B84A59"/>
    <w:rPr>
      <w:vertAlign w:val="superscript"/>
    </w:rPr>
  </w:style>
  <w:style w:type="paragraph" w:styleId="Revision">
    <w:name w:val="Revision"/>
    <w:hidden/>
    <w:uiPriority w:val="99"/>
    <w:semiHidden/>
    <w:rsid w:val="00EF583E"/>
    <w:pPr>
      <w:spacing w:after="0" w:line="240" w:lineRule="auto"/>
    </w:pPr>
  </w:style>
  <w:style w:type="paragraph" w:styleId="Header">
    <w:name w:val="header"/>
    <w:basedOn w:val="Normal"/>
    <w:link w:val="HeaderChar"/>
    <w:uiPriority w:val="99"/>
    <w:unhideWhenUsed/>
    <w:rsid w:val="004A21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A21D6"/>
  </w:style>
  <w:style w:type="paragraph" w:styleId="Footer">
    <w:name w:val="footer"/>
    <w:basedOn w:val="Normal"/>
    <w:link w:val="FooterChar"/>
    <w:unhideWhenUsed/>
    <w:rsid w:val="004A21D6"/>
    <w:pPr>
      <w:tabs>
        <w:tab w:val="center" w:pos="4536"/>
        <w:tab w:val="right" w:pos="9072"/>
      </w:tabs>
      <w:spacing w:after="0" w:line="240" w:lineRule="auto"/>
    </w:pPr>
  </w:style>
  <w:style w:type="character" w:customStyle="1" w:styleId="FooterChar">
    <w:name w:val="Footer Char"/>
    <w:basedOn w:val="DefaultParagraphFont"/>
    <w:link w:val="Footer"/>
    <w:rsid w:val="004A21D6"/>
  </w:style>
  <w:style w:type="character" w:styleId="Hyperlink">
    <w:name w:val="Hyperlink"/>
    <w:basedOn w:val="DefaultParagraphFont"/>
    <w:uiPriority w:val="99"/>
    <w:rsid w:val="004A21D6"/>
    <w:rPr>
      <w:color w:val="0000FF"/>
      <w:u w:val="single"/>
    </w:rPr>
  </w:style>
  <w:style w:type="paragraph" w:styleId="ListParagraph">
    <w:name w:val="List Paragraph"/>
    <w:aliases w:val="L1,Numerowanie,Akapit z listą5,T_SZ_List Paragraph,normalny tekst,Kolorowa lista — akcent 11,Akapit z listą BS,Kolorowa lista — akcent 12,lp1,List Paragraph2,EPL lista punktowana z wyrózneniem,A_wyliczenie,K-P_odwolanie"/>
    <w:basedOn w:val="Normal"/>
    <w:link w:val="ListParagraphChar"/>
    <w:uiPriority w:val="34"/>
    <w:qFormat/>
    <w:rsid w:val="004A21D6"/>
    <w:pPr>
      <w:spacing w:after="0" w:line="240" w:lineRule="auto"/>
      <w:ind w:left="720"/>
      <w:contextualSpacing/>
    </w:pPr>
    <w:rPr>
      <w:rFonts w:ascii="Arial" w:eastAsia="Times New Roman" w:hAnsi="Arial" w:cs="Times New Roman"/>
      <w:sz w:val="24"/>
      <w:szCs w:val="24"/>
      <w:lang w:eastAsia="pl-PL"/>
    </w:rPr>
  </w:style>
  <w:style w:type="character" w:customStyle="1" w:styleId="ListParagraphChar">
    <w:name w:val="List Paragraph Char"/>
    <w:aliases w:val="L1 Char,Numerowanie Char,Akapit z listą5 Char,T_SZ_List Paragraph Char,normalny tekst Char,Kolorowa lista — akcent 11 Char,Akapit z listą BS Char,Kolorowa lista — akcent 12 Char,lp1 Char,List Paragraph2 Char,A_wyliczenie Char"/>
    <w:basedOn w:val="DefaultParagraphFont"/>
    <w:link w:val="ListParagraph"/>
    <w:uiPriority w:val="34"/>
    <w:qFormat/>
    <w:rsid w:val="00495849"/>
    <w:rPr>
      <w:rFonts w:ascii="Arial" w:eastAsia="Times New Roman" w:hAnsi="Arial" w:cs="Times New Roman"/>
      <w:sz w:val="24"/>
      <w:szCs w:val="24"/>
      <w:lang w:eastAsia="pl-PL"/>
    </w:rPr>
  </w:style>
  <w:style w:type="character" w:customStyle="1" w:styleId="Heading1Char">
    <w:name w:val="Heading 1 Char"/>
    <w:basedOn w:val="DefaultParagraphFont"/>
    <w:link w:val="Heading1"/>
    <w:uiPriority w:val="9"/>
    <w:rsid w:val="0049584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95849"/>
    <w:pPr>
      <w:outlineLvl w:val="9"/>
    </w:pPr>
    <w:rPr>
      <w:lang w:eastAsia="pl-PL"/>
    </w:rPr>
  </w:style>
  <w:style w:type="character" w:styleId="UnresolvedMention">
    <w:name w:val="Unresolved Mention"/>
    <w:basedOn w:val="DefaultParagraphFont"/>
    <w:uiPriority w:val="99"/>
    <w:semiHidden/>
    <w:unhideWhenUsed/>
    <w:rsid w:val="00AA0B89"/>
    <w:rPr>
      <w:color w:val="605E5C"/>
      <w:shd w:val="clear" w:color="auto" w:fill="E1DFDD"/>
    </w:rPr>
  </w:style>
  <w:style w:type="paragraph" w:styleId="FootnoteText">
    <w:name w:val="footnote text"/>
    <w:basedOn w:val="Normal"/>
    <w:link w:val="FootnoteTextChar"/>
    <w:uiPriority w:val="99"/>
    <w:semiHidden/>
    <w:unhideWhenUsed/>
    <w:rsid w:val="00D76A4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76A4F"/>
    <w:rPr>
      <w:sz w:val="20"/>
      <w:szCs w:val="20"/>
    </w:rPr>
  </w:style>
  <w:style w:type="character" w:styleId="FootnoteReference">
    <w:name w:val="footnote reference"/>
    <w:basedOn w:val="DefaultParagraphFont"/>
    <w:uiPriority w:val="99"/>
    <w:semiHidden/>
    <w:unhideWhenUsed/>
    <w:rsid w:val="00D76A4F"/>
    <w:rPr>
      <w:vertAlign w:val="superscript"/>
    </w:rPr>
  </w:style>
  <w:style w:type="table" w:styleId="TableGrid">
    <w:name w:val="Table Grid"/>
    <w:basedOn w:val="TableNormal"/>
    <w:uiPriority w:val="39"/>
    <w:rsid w:val="00AF7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lative">
    <w:name w:val="relative"/>
    <w:basedOn w:val="DefaultParagraphFont"/>
    <w:rsid w:val="00C07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0750">
      <w:bodyDiv w:val="1"/>
      <w:marLeft w:val="0"/>
      <w:marRight w:val="0"/>
      <w:marTop w:val="0"/>
      <w:marBottom w:val="0"/>
      <w:divBdr>
        <w:top w:val="none" w:sz="0" w:space="0" w:color="auto"/>
        <w:left w:val="none" w:sz="0" w:space="0" w:color="auto"/>
        <w:bottom w:val="none" w:sz="0" w:space="0" w:color="auto"/>
        <w:right w:val="none" w:sz="0" w:space="0" w:color="auto"/>
      </w:divBdr>
    </w:div>
    <w:div w:id="75130827">
      <w:bodyDiv w:val="1"/>
      <w:marLeft w:val="0"/>
      <w:marRight w:val="0"/>
      <w:marTop w:val="0"/>
      <w:marBottom w:val="0"/>
      <w:divBdr>
        <w:top w:val="none" w:sz="0" w:space="0" w:color="auto"/>
        <w:left w:val="none" w:sz="0" w:space="0" w:color="auto"/>
        <w:bottom w:val="none" w:sz="0" w:space="0" w:color="auto"/>
        <w:right w:val="none" w:sz="0" w:space="0" w:color="auto"/>
      </w:divBdr>
    </w:div>
    <w:div w:id="80879339">
      <w:bodyDiv w:val="1"/>
      <w:marLeft w:val="0"/>
      <w:marRight w:val="0"/>
      <w:marTop w:val="0"/>
      <w:marBottom w:val="0"/>
      <w:divBdr>
        <w:top w:val="none" w:sz="0" w:space="0" w:color="auto"/>
        <w:left w:val="none" w:sz="0" w:space="0" w:color="auto"/>
        <w:bottom w:val="none" w:sz="0" w:space="0" w:color="auto"/>
        <w:right w:val="none" w:sz="0" w:space="0" w:color="auto"/>
      </w:divBdr>
    </w:div>
    <w:div w:id="130365454">
      <w:bodyDiv w:val="1"/>
      <w:marLeft w:val="0"/>
      <w:marRight w:val="0"/>
      <w:marTop w:val="0"/>
      <w:marBottom w:val="0"/>
      <w:divBdr>
        <w:top w:val="none" w:sz="0" w:space="0" w:color="auto"/>
        <w:left w:val="none" w:sz="0" w:space="0" w:color="auto"/>
        <w:bottom w:val="none" w:sz="0" w:space="0" w:color="auto"/>
        <w:right w:val="none" w:sz="0" w:space="0" w:color="auto"/>
      </w:divBdr>
    </w:div>
    <w:div w:id="153107346">
      <w:bodyDiv w:val="1"/>
      <w:marLeft w:val="0"/>
      <w:marRight w:val="0"/>
      <w:marTop w:val="0"/>
      <w:marBottom w:val="0"/>
      <w:divBdr>
        <w:top w:val="none" w:sz="0" w:space="0" w:color="auto"/>
        <w:left w:val="none" w:sz="0" w:space="0" w:color="auto"/>
        <w:bottom w:val="none" w:sz="0" w:space="0" w:color="auto"/>
        <w:right w:val="none" w:sz="0" w:space="0" w:color="auto"/>
      </w:divBdr>
    </w:div>
    <w:div w:id="173810000">
      <w:bodyDiv w:val="1"/>
      <w:marLeft w:val="0"/>
      <w:marRight w:val="0"/>
      <w:marTop w:val="0"/>
      <w:marBottom w:val="0"/>
      <w:divBdr>
        <w:top w:val="none" w:sz="0" w:space="0" w:color="auto"/>
        <w:left w:val="none" w:sz="0" w:space="0" w:color="auto"/>
        <w:bottom w:val="none" w:sz="0" w:space="0" w:color="auto"/>
        <w:right w:val="none" w:sz="0" w:space="0" w:color="auto"/>
      </w:divBdr>
    </w:div>
    <w:div w:id="175460067">
      <w:bodyDiv w:val="1"/>
      <w:marLeft w:val="0"/>
      <w:marRight w:val="0"/>
      <w:marTop w:val="0"/>
      <w:marBottom w:val="0"/>
      <w:divBdr>
        <w:top w:val="none" w:sz="0" w:space="0" w:color="auto"/>
        <w:left w:val="none" w:sz="0" w:space="0" w:color="auto"/>
        <w:bottom w:val="none" w:sz="0" w:space="0" w:color="auto"/>
        <w:right w:val="none" w:sz="0" w:space="0" w:color="auto"/>
      </w:divBdr>
    </w:div>
    <w:div w:id="176502022">
      <w:bodyDiv w:val="1"/>
      <w:marLeft w:val="0"/>
      <w:marRight w:val="0"/>
      <w:marTop w:val="0"/>
      <w:marBottom w:val="0"/>
      <w:divBdr>
        <w:top w:val="none" w:sz="0" w:space="0" w:color="auto"/>
        <w:left w:val="none" w:sz="0" w:space="0" w:color="auto"/>
        <w:bottom w:val="none" w:sz="0" w:space="0" w:color="auto"/>
        <w:right w:val="none" w:sz="0" w:space="0" w:color="auto"/>
      </w:divBdr>
      <w:divsChild>
        <w:div w:id="1065109219">
          <w:marLeft w:val="0"/>
          <w:marRight w:val="0"/>
          <w:marTop w:val="0"/>
          <w:marBottom w:val="0"/>
          <w:divBdr>
            <w:top w:val="single" w:sz="2" w:space="0" w:color="E3E3E3"/>
            <w:left w:val="single" w:sz="2" w:space="0" w:color="E3E3E3"/>
            <w:bottom w:val="single" w:sz="2" w:space="0" w:color="E3E3E3"/>
            <w:right w:val="single" w:sz="2" w:space="0" w:color="E3E3E3"/>
          </w:divBdr>
          <w:divsChild>
            <w:div w:id="1616669308">
              <w:marLeft w:val="0"/>
              <w:marRight w:val="0"/>
              <w:marTop w:val="0"/>
              <w:marBottom w:val="0"/>
              <w:divBdr>
                <w:top w:val="single" w:sz="2" w:space="0" w:color="E3E3E3"/>
                <w:left w:val="single" w:sz="2" w:space="0" w:color="E3E3E3"/>
                <w:bottom w:val="single" w:sz="2" w:space="0" w:color="E3E3E3"/>
                <w:right w:val="single" w:sz="2" w:space="0" w:color="E3E3E3"/>
              </w:divBdr>
              <w:divsChild>
                <w:div w:id="378937816">
                  <w:marLeft w:val="0"/>
                  <w:marRight w:val="0"/>
                  <w:marTop w:val="0"/>
                  <w:marBottom w:val="0"/>
                  <w:divBdr>
                    <w:top w:val="single" w:sz="2" w:space="2" w:color="E3E3E3"/>
                    <w:left w:val="single" w:sz="2" w:space="0" w:color="E3E3E3"/>
                    <w:bottom w:val="single" w:sz="2" w:space="0" w:color="E3E3E3"/>
                    <w:right w:val="single" w:sz="2" w:space="0" w:color="E3E3E3"/>
                  </w:divBdr>
                  <w:divsChild>
                    <w:div w:id="7808038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77542749">
      <w:bodyDiv w:val="1"/>
      <w:marLeft w:val="0"/>
      <w:marRight w:val="0"/>
      <w:marTop w:val="0"/>
      <w:marBottom w:val="0"/>
      <w:divBdr>
        <w:top w:val="none" w:sz="0" w:space="0" w:color="auto"/>
        <w:left w:val="none" w:sz="0" w:space="0" w:color="auto"/>
        <w:bottom w:val="none" w:sz="0" w:space="0" w:color="auto"/>
        <w:right w:val="none" w:sz="0" w:space="0" w:color="auto"/>
      </w:divBdr>
      <w:divsChild>
        <w:div w:id="1261455075">
          <w:marLeft w:val="0"/>
          <w:marRight w:val="0"/>
          <w:marTop w:val="0"/>
          <w:marBottom w:val="0"/>
          <w:divBdr>
            <w:top w:val="single" w:sz="2" w:space="0" w:color="E3E3E3"/>
            <w:left w:val="single" w:sz="2" w:space="0" w:color="E3E3E3"/>
            <w:bottom w:val="single" w:sz="2" w:space="0" w:color="E3E3E3"/>
            <w:right w:val="single" w:sz="2" w:space="0" w:color="E3E3E3"/>
          </w:divBdr>
          <w:divsChild>
            <w:div w:id="2059821488">
              <w:marLeft w:val="0"/>
              <w:marRight w:val="0"/>
              <w:marTop w:val="0"/>
              <w:marBottom w:val="0"/>
              <w:divBdr>
                <w:top w:val="single" w:sz="2" w:space="0" w:color="E3E3E3"/>
                <w:left w:val="single" w:sz="2" w:space="0" w:color="E3E3E3"/>
                <w:bottom w:val="single" w:sz="2" w:space="0" w:color="E3E3E3"/>
                <w:right w:val="single" w:sz="2" w:space="0" w:color="E3E3E3"/>
              </w:divBdr>
              <w:divsChild>
                <w:div w:id="153572945">
                  <w:marLeft w:val="0"/>
                  <w:marRight w:val="0"/>
                  <w:marTop w:val="0"/>
                  <w:marBottom w:val="0"/>
                  <w:divBdr>
                    <w:top w:val="single" w:sz="2" w:space="2" w:color="E3E3E3"/>
                    <w:left w:val="single" w:sz="2" w:space="0" w:color="E3E3E3"/>
                    <w:bottom w:val="single" w:sz="2" w:space="0" w:color="E3E3E3"/>
                    <w:right w:val="single" w:sz="2" w:space="0" w:color="E3E3E3"/>
                  </w:divBdr>
                  <w:divsChild>
                    <w:div w:id="1822127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85291387">
      <w:bodyDiv w:val="1"/>
      <w:marLeft w:val="0"/>
      <w:marRight w:val="0"/>
      <w:marTop w:val="0"/>
      <w:marBottom w:val="0"/>
      <w:divBdr>
        <w:top w:val="none" w:sz="0" w:space="0" w:color="auto"/>
        <w:left w:val="none" w:sz="0" w:space="0" w:color="auto"/>
        <w:bottom w:val="none" w:sz="0" w:space="0" w:color="auto"/>
        <w:right w:val="none" w:sz="0" w:space="0" w:color="auto"/>
      </w:divBdr>
    </w:div>
    <w:div w:id="196430917">
      <w:bodyDiv w:val="1"/>
      <w:marLeft w:val="0"/>
      <w:marRight w:val="0"/>
      <w:marTop w:val="0"/>
      <w:marBottom w:val="0"/>
      <w:divBdr>
        <w:top w:val="none" w:sz="0" w:space="0" w:color="auto"/>
        <w:left w:val="none" w:sz="0" w:space="0" w:color="auto"/>
        <w:bottom w:val="none" w:sz="0" w:space="0" w:color="auto"/>
        <w:right w:val="none" w:sz="0" w:space="0" w:color="auto"/>
      </w:divBdr>
    </w:div>
    <w:div w:id="200362593">
      <w:bodyDiv w:val="1"/>
      <w:marLeft w:val="0"/>
      <w:marRight w:val="0"/>
      <w:marTop w:val="0"/>
      <w:marBottom w:val="0"/>
      <w:divBdr>
        <w:top w:val="none" w:sz="0" w:space="0" w:color="auto"/>
        <w:left w:val="none" w:sz="0" w:space="0" w:color="auto"/>
        <w:bottom w:val="none" w:sz="0" w:space="0" w:color="auto"/>
        <w:right w:val="none" w:sz="0" w:space="0" w:color="auto"/>
      </w:divBdr>
    </w:div>
    <w:div w:id="270358814">
      <w:bodyDiv w:val="1"/>
      <w:marLeft w:val="0"/>
      <w:marRight w:val="0"/>
      <w:marTop w:val="0"/>
      <w:marBottom w:val="0"/>
      <w:divBdr>
        <w:top w:val="none" w:sz="0" w:space="0" w:color="auto"/>
        <w:left w:val="none" w:sz="0" w:space="0" w:color="auto"/>
        <w:bottom w:val="none" w:sz="0" w:space="0" w:color="auto"/>
        <w:right w:val="none" w:sz="0" w:space="0" w:color="auto"/>
      </w:divBdr>
      <w:divsChild>
        <w:div w:id="1193760244">
          <w:marLeft w:val="446"/>
          <w:marRight w:val="0"/>
          <w:marTop w:val="60"/>
          <w:marBottom w:val="60"/>
          <w:divBdr>
            <w:top w:val="none" w:sz="0" w:space="0" w:color="auto"/>
            <w:left w:val="none" w:sz="0" w:space="0" w:color="auto"/>
            <w:bottom w:val="none" w:sz="0" w:space="0" w:color="auto"/>
            <w:right w:val="none" w:sz="0" w:space="0" w:color="auto"/>
          </w:divBdr>
        </w:div>
      </w:divsChild>
    </w:div>
    <w:div w:id="322049266">
      <w:bodyDiv w:val="1"/>
      <w:marLeft w:val="0"/>
      <w:marRight w:val="0"/>
      <w:marTop w:val="0"/>
      <w:marBottom w:val="0"/>
      <w:divBdr>
        <w:top w:val="none" w:sz="0" w:space="0" w:color="auto"/>
        <w:left w:val="none" w:sz="0" w:space="0" w:color="auto"/>
        <w:bottom w:val="none" w:sz="0" w:space="0" w:color="auto"/>
        <w:right w:val="none" w:sz="0" w:space="0" w:color="auto"/>
      </w:divBdr>
      <w:divsChild>
        <w:div w:id="319117435">
          <w:marLeft w:val="374"/>
          <w:marRight w:val="0"/>
          <w:marTop w:val="141"/>
          <w:marBottom w:val="0"/>
          <w:divBdr>
            <w:top w:val="none" w:sz="0" w:space="0" w:color="auto"/>
            <w:left w:val="none" w:sz="0" w:space="0" w:color="auto"/>
            <w:bottom w:val="none" w:sz="0" w:space="0" w:color="auto"/>
            <w:right w:val="none" w:sz="0" w:space="0" w:color="auto"/>
          </w:divBdr>
        </w:div>
      </w:divsChild>
    </w:div>
    <w:div w:id="325086063">
      <w:bodyDiv w:val="1"/>
      <w:marLeft w:val="0"/>
      <w:marRight w:val="0"/>
      <w:marTop w:val="0"/>
      <w:marBottom w:val="0"/>
      <w:divBdr>
        <w:top w:val="none" w:sz="0" w:space="0" w:color="auto"/>
        <w:left w:val="none" w:sz="0" w:space="0" w:color="auto"/>
        <w:bottom w:val="none" w:sz="0" w:space="0" w:color="auto"/>
        <w:right w:val="none" w:sz="0" w:space="0" w:color="auto"/>
      </w:divBdr>
    </w:div>
    <w:div w:id="341857537">
      <w:bodyDiv w:val="1"/>
      <w:marLeft w:val="0"/>
      <w:marRight w:val="0"/>
      <w:marTop w:val="0"/>
      <w:marBottom w:val="0"/>
      <w:divBdr>
        <w:top w:val="none" w:sz="0" w:space="0" w:color="auto"/>
        <w:left w:val="none" w:sz="0" w:space="0" w:color="auto"/>
        <w:bottom w:val="none" w:sz="0" w:space="0" w:color="auto"/>
        <w:right w:val="none" w:sz="0" w:space="0" w:color="auto"/>
      </w:divBdr>
    </w:div>
    <w:div w:id="371267580">
      <w:bodyDiv w:val="1"/>
      <w:marLeft w:val="0"/>
      <w:marRight w:val="0"/>
      <w:marTop w:val="0"/>
      <w:marBottom w:val="0"/>
      <w:divBdr>
        <w:top w:val="none" w:sz="0" w:space="0" w:color="auto"/>
        <w:left w:val="none" w:sz="0" w:space="0" w:color="auto"/>
        <w:bottom w:val="none" w:sz="0" w:space="0" w:color="auto"/>
        <w:right w:val="none" w:sz="0" w:space="0" w:color="auto"/>
      </w:divBdr>
    </w:div>
    <w:div w:id="384720470">
      <w:bodyDiv w:val="1"/>
      <w:marLeft w:val="0"/>
      <w:marRight w:val="0"/>
      <w:marTop w:val="0"/>
      <w:marBottom w:val="0"/>
      <w:divBdr>
        <w:top w:val="none" w:sz="0" w:space="0" w:color="auto"/>
        <w:left w:val="none" w:sz="0" w:space="0" w:color="auto"/>
        <w:bottom w:val="none" w:sz="0" w:space="0" w:color="auto"/>
        <w:right w:val="none" w:sz="0" w:space="0" w:color="auto"/>
      </w:divBdr>
    </w:div>
    <w:div w:id="399139169">
      <w:bodyDiv w:val="1"/>
      <w:marLeft w:val="0"/>
      <w:marRight w:val="0"/>
      <w:marTop w:val="0"/>
      <w:marBottom w:val="0"/>
      <w:divBdr>
        <w:top w:val="none" w:sz="0" w:space="0" w:color="auto"/>
        <w:left w:val="none" w:sz="0" w:space="0" w:color="auto"/>
        <w:bottom w:val="none" w:sz="0" w:space="0" w:color="auto"/>
        <w:right w:val="none" w:sz="0" w:space="0" w:color="auto"/>
      </w:divBdr>
    </w:div>
    <w:div w:id="414210373">
      <w:bodyDiv w:val="1"/>
      <w:marLeft w:val="0"/>
      <w:marRight w:val="0"/>
      <w:marTop w:val="0"/>
      <w:marBottom w:val="0"/>
      <w:divBdr>
        <w:top w:val="none" w:sz="0" w:space="0" w:color="auto"/>
        <w:left w:val="none" w:sz="0" w:space="0" w:color="auto"/>
        <w:bottom w:val="none" w:sz="0" w:space="0" w:color="auto"/>
        <w:right w:val="none" w:sz="0" w:space="0" w:color="auto"/>
      </w:divBdr>
    </w:div>
    <w:div w:id="449709905">
      <w:bodyDiv w:val="1"/>
      <w:marLeft w:val="0"/>
      <w:marRight w:val="0"/>
      <w:marTop w:val="0"/>
      <w:marBottom w:val="0"/>
      <w:divBdr>
        <w:top w:val="none" w:sz="0" w:space="0" w:color="auto"/>
        <w:left w:val="none" w:sz="0" w:space="0" w:color="auto"/>
        <w:bottom w:val="none" w:sz="0" w:space="0" w:color="auto"/>
        <w:right w:val="none" w:sz="0" w:space="0" w:color="auto"/>
      </w:divBdr>
    </w:div>
    <w:div w:id="462695683">
      <w:bodyDiv w:val="1"/>
      <w:marLeft w:val="0"/>
      <w:marRight w:val="0"/>
      <w:marTop w:val="0"/>
      <w:marBottom w:val="0"/>
      <w:divBdr>
        <w:top w:val="none" w:sz="0" w:space="0" w:color="auto"/>
        <w:left w:val="none" w:sz="0" w:space="0" w:color="auto"/>
        <w:bottom w:val="none" w:sz="0" w:space="0" w:color="auto"/>
        <w:right w:val="none" w:sz="0" w:space="0" w:color="auto"/>
      </w:divBdr>
    </w:div>
    <w:div w:id="463886602">
      <w:bodyDiv w:val="1"/>
      <w:marLeft w:val="0"/>
      <w:marRight w:val="0"/>
      <w:marTop w:val="0"/>
      <w:marBottom w:val="0"/>
      <w:divBdr>
        <w:top w:val="none" w:sz="0" w:space="0" w:color="auto"/>
        <w:left w:val="none" w:sz="0" w:space="0" w:color="auto"/>
        <w:bottom w:val="none" w:sz="0" w:space="0" w:color="auto"/>
        <w:right w:val="none" w:sz="0" w:space="0" w:color="auto"/>
      </w:divBdr>
    </w:div>
    <w:div w:id="487016402">
      <w:bodyDiv w:val="1"/>
      <w:marLeft w:val="0"/>
      <w:marRight w:val="0"/>
      <w:marTop w:val="0"/>
      <w:marBottom w:val="0"/>
      <w:divBdr>
        <w:top w:val="none" w:sz="0" w:space="0" w:color="auto"/>
        <w:left w:val="none" w:sz="0" w:space="0" w:color="auto"/>
        <w:bottom w:val="none" w:sz="0" w:space="0" w:color="auto"/>
        <w:right w:val="none" w:sz="0" w:space="0" w:color="auto"/>
      </w:divBdr>
      <w:divsChild>
        <w:div w:id="2084176433">
          <w:marLeft w:val="547"/>
          <w:marRight w:val="0"/>
          <w:marTop w:val="0"/>
          <w:marBottom w:val="0"/>
          <w:divBdr>
            <w:top w:val="none" w:sz="0" w:space="0" w:color="auto"/>
            <w:left w:val="none" w:sz="0" w:space="0" w:color="auto"/>
            <w:bottom w:val="none" w:sz="0" w:space="0" w:color="auto"/>
            <w:right w:val="none" w:sz="0" w:space="0" w:color="auto"/>
          </w:divBdr>
        </w:div>
      </w:divsChild>
    </w:div>
    <w:div w:id="553740839">
      <w:bodyDiv w:val="1"/>
      <w:marLeft w:val="0"/>
      <w:marRight w:val="0"/>
      <w:marTop w:val="0"/>
      <w:marBottom w:val="0"/>
      <w:divBdr>
        <w:top w:val="none" w:sz="0" w:space="0" w:color="auto"/>
        <w:left w:val="none" w:sz="0" w:space="0" w:color="auto"/>
        <w:bottom w:val="none" w:sz="0" w:space="0" w:color="auto"/>
        <w:right w:val="none" w:sz="0" w:space="0" w:color="auto"/>
      </w:divBdr>
    </w:div>
    <w:div w:id="575556065">
      <w:bodyDiv w:val="1"/>
      <w:marLeft w:val="0"/>
      <w:marRight w:val="0"/>
      <w:marTop w:val="0"/>
      <w:marBottom w:val="0"/>
      <w:divBdr>
        <w:top w:val="none" w:sz="0" w:space="0" w:color="auto"/>
        <w:left w:val="none" w:sz="0" w:space="0" w:color="auto"/>
        <w:bottom w:val="none" w:sz="0" w:space="0" w:color="auto"/>
        <w:right w:val="none" w:sz="0" w:space="0" w:color="auto"/>
      </w:divBdr>
    </w:div>
    <w:div w:id="680854552">
      <w:bodyDiv w:val="1"/>
      <w:marLeft w:val="0"/>
      <w:marRight w:val="0"/>
      <w:marTop w:val="0"/>
      <w:marBottom w:val="0"/>
      <w:divBdr>
        <w:top w:val="none" w:sz="0" w:space="0" w:color="auto"/>
        <w:left w:val="none" w:sz="0" w:space="0" w:color="auto"/>
        <w:bottom w:val="none" w:sz="0" w:space="0" w:color="auto"/>
        <w:right w:val="none" w:sz="0" w:space="0" w:color="auto"/>
      </w:divBdr>
    </w:div>
    <w:div w:id="774863093">
      <w:bodyDiv w:val="1"/>
      <w:marLeft w:val="0"/>
      <w:marRight w:val="0"/>
      <w:marTop w:val="0"/>
      <w:marBottom w:val="0"/>
      <w:divBdr>
        <w:top w:val="none" w:sz="0" w:space="0" w:color="auto"/>
        <w:left w:val="none" w:sz="0" w:space="0" w:color="auto"/>
        <w:bottom w:val="none" w:sz="0" w:space="0" w:color="auto"/>
        <w:right w:val="none" w:sz="0" w:space="0" w:color="auto"/>
      </w:divBdr>
      <w:divsChild>
        <w:div w:id="1565986149">
          <w:marLeft w:val="418"/>
          <w:marRight w:val="0"/>
          <w:marTop w:val="0"/>
          <w:marBottom w:val="0"/>
          <w:divBdr>
            <w:top w:val="none" w:sz="0" w:space="0" w:color="auto"/>
            <w:left w:val="none" w:sz="0" w:space="0" w:color="auto"/>
            <w:bottom w:val="none" w:sz="0" w:space="0" w:color="auto"/>
            <w:right w:val="none" w:sz="0" w:space="0" w:color="auto"/>
          </w:divBdr>
        </w:div>
        <w:div w:id="1825704163">
          <w:marLeft w:val="418"/>
          <w:marRight w:val="0"/>
          <w:marTop w:val="0"/>
          <w:marBottom w:val="0"/>
          <w:divBdr>
            <w:top w:val="none" w:sz="0" w:space="0" w:color="auto"/>
            <w:left w:val="none" w:sz="0" w:space="0" w:color="auto"/>
            <w:bottom w:val="none" w:sz="0" w:space="0" w:color="auto"/>
            <w:right w:val="none" w:sz="0" w:space="0" w:color="auto"/>
          </w:divBdr>
        </w:div>
        <w:div w:id="2034111440">
          <w:marLeft w:val="418"/>
          <w:marRight w:val="0"/>
          <w:marTop w:val="0"/>
          <w:marBottom w:val="0"/>
          <w:divBdr>
            <w:top w:val="none" w:sz="0" w:space="0" w:color="auto"/>
            <w:left w:val="none" w:sz="0" w:space="0" w:color="auto"/>
            <w:bottom w:val="none" w:sz="0" w:space="0" w:color="auto"/>
            <w:right w:val="none" w:sz="0" w:space="0" w:color="auto"/>
          </w:divBdr>
        </w:div>
        <w:div w:id="278414826">
          <w:marLeft w:val="418"/>
          <w:marRight w:val="0"/>
          <w:marTop w:val="0"/>
          <w:marBottom w:val="0"/>
          <w:divBdr>
            <w:top w:val="none" w:sz="0" w:space="0" w:color="auto"/>
            <w:left w:val="none" w:sz="0" w:space="0" w:color="auto"/>
            <w:bottom w:val="none" w:sz="0" w:space="0" w:color="auto"/>
            <w:right w:val="none" w:sz="0" w:space="0" w:color="auto"/>
          </w:divBdr>
        </w:div>
      </w:divsChild>
    </w:div>
    <w:div w:id="815535778">
      <w:bodyDiv w:val="1"/>
      <w:marLeft w:val="0"/>
      <w:marRight w:val="0"/>
      <w:marTop w:val="0"/>
      <w:marBottom w:val="0"/>
      <w:divBdr>
        <w:top w:val="none" w:sz="0" w:space="0" w:color="auto"/>
        <w:left w:val="none" w:sz="0" w:space="0" w:color="auto"/>
        <w:bottom w:val="none" w:sz="0" w:space="0" w:color="auto"/>
        <w:right w:val="none" w:sz="0" w:space="0" w:color="auto"/>
      </w:divBdr>
    </w:div>
    <w:div w:id="821896464">
      <w:bodyDiv w:val="1"/>
      <w:marLeft w:val="0"/>
      <w:marRight w:val="0"/>
      <w:marTop w:val="0"/>
      <w:marBottom w:val="0"/>
      <w:divBdr>
        <w:top w:val="none" w:sz="0" w:space="0" w:color="auto"/>
        <w:left w:val="none" w:sz="0" w:space="0" w:color="auto"/>
        <w:bottom w:val="none" w:sz="0" w:space="0" w:color="auto"/>
        <w:right w:val="none" w:sz="0" w:space="0" w:color="auto"/>
      </w:divBdr>
    </w:div>
    <w:div w:id="867641801">
      <w:bodyDiv w:val="1"/>
      <w:marLeft w:val="0"/>
      <w:marRight w:val="0"/>
      <w:marTop w:val="0"/>
      <w:marBottom w:val="0"/>
      <w:divBdr>
        <w:top w:val="none" w:sz="0" w:space="0" w:color="auto"/>
        <w:left w:val="none" w:sz="0" w:space="0" w:color="auto"/>
        <w:bottom w:val="none" w:sz="0" w:space="0" w:color="auto"/>
        <w:right w:val="none" w:sz="0" w:space="0" w:color="auto"/>
      </w:divBdr>
    </w:div>
    <w:div w:id="925846571">
      <w:bodyDiv w:val="1"/>
      <w:marLeft w:val="0"/>
      <w:marRight w:val="0"/>
      <w:marTop w:val="0"/>
      <w:marBottom w:val="0"/>
      <w:divBdr>
        <w:top w:val="none" w:sz="0" w:space="0" w:color="auto"/>
        <w:left w:val="none" w:sz="0" w:space="0" w:color="auto"/>
        <w:bottom w:val="none" w:sz="0" w:space="0" w:color="auto"/>
        <w:right w:val="none" w:sz="0" w:space="0" w:color="auto"/>
      </w:divBdr>
      <w:divsChild>
        <w:div w:id="515193943">
          <w:marLeft w:val="418"/>
          <w:marRight w:val="0"/>
          <w:marTop w:val="0"/>
          <w:marBottom w:val="0"/>
          <w:divBdr>
            <w:top w:val="none" w:sz="0" w:space="0" w:color="auto"/>
            <w:left w:val="none" w:sz="0" w:space="0" w:color="auto"/>
            <w:bottom w:val="none" w:sz="0" w:space="0" w:color="auto"/>
            <w:right w:val="none" w:sz="0" w:space="0" w:color="auto"/>
          </w:divBdr>
        </w:div>
        <w:div w:id="176501542">
          <w:marLeft w:val="418"/>
          <w:marRight w:val="0"/>
          <w:marTop w:val="0"/>
          <w:marBottom w:val="0"/>
          <w:divBdr>
            <w:top w:val="none" w:sz="0" w:space="0" w:color="auto"/>
            <w:left w:val="none" w:sz="0" w:space="0" w:color="auto"/>
            <w:bottom w:val="none" w:sz="0" w:space="0" w:color="auto"/>
            <w:right w:val="none" w:sz="0" w:space="0" w:color="auto"/>
          </w:divBdr>
        </w:div>
        <w:div w:id="320937381">
          <w:marLeft w:val="418"/>
          <w:marRight w:val="0"/>
          <w:marTop w:val="0"/>
          <w:marBottom w:val="0"/>
          <w:divBdr>
            <w:top w:val="none" w:sz="0" w:space="0" w:color="auto"/>
            <w:left w:val="none" w:sz="0" w:space="0" w:color="auto"/>
            <w:bottom w:val="none" w:sz="0" w:space="0" w:color="auto"/>
            <w:right w:val="none" w:sz="0" w:space="0" w:color="auto"/>
          </w:divBdr>
        </w:div>
        <w:div w:id="1226338270">
          <w:marLeft w:val="418"/>
          <w:marRight w:val="0"/>
          <w:marTop w:val="0"/>
          <w:marBottom w:val="0"/>
          <w:divBdr>
            <w:top w:val="none" w:sz="0" w:space="0" w:color="auto"/>
            <w:left w:val="none" w:sz="0" w:space="0" w:color="auto"/>
            <w:bottom w:val="none" w:sz="0" w:space="0" w:color="auto"/>
            <w:right w:val="none" w:sz="0" w:space="0" w:color="auto"/>
          </w:divBdr>
        </w:div>
      </w:divsChild>
    </w:div>
    <w:div w:id="967126875">
      <w:bodyDiv w:val="1"/>
      <w:marLeft w:val="0"/>
      <w:marRight w:val="0"/>
      <w:marTop w:val="0"/>
      <w:marBottom w:val="0"/>
      <w:divBdr>
        <w:top w:val="none" w:sz="0" w:space="0" w:color="auto"/>
        <w:left w:val="none" w:sz="0" w:space="0" w:color="auto"/>
        <w:bottom w:val="none" w:sz="0" w:space="0" w:color="auto"/>
        <w:right w:val="none" w:sz="0" w:space="0" w:color="auto"/>
      </w:divBdr>
      <w:divsChild>
        <w:div w:id="1387922083">
          <w:marLeft w:val="0"/>
          <w:marRight w:val="0"/>
          <w:marTop w:val="0"/>
          <w:marBottom w:val="0"/>
          <w:divBdr>
            <w:top w:val="single" w:sz="2" w:space="0" w:color="E3E3E3"/>
            <w:left w:val="single" w:sz="2" w:space="0" w:color="E3E3E3"/>
            <w:bottom w:val="single" w:sz="2" w:space="0" w:color="E3E3E3"/>
            <w:right w:val="single" w:sz="2" w:space="0" w:color="E3E3E3"/>
          </w:divBdr>
          <w:divsChild>
            <w:div w:id="754129070">
              <w:marLeft w:val="0"/>
              <w:marRight w:val="0"/>
              <w:marTop w:val="0"/>
              <w:marBottom w:val="0"/>
              <w:divBdr>
                <w:top w:val="single" w:sz="2" w:space="0" w:color="E3E3E3"/>
                <w:left w:val="single" w:sz="2" w:space="0" w:color="E3E3E3"/>
                <w:bottom w:val="single" w:sz="2" w:space="0" w:color="E3E3E3"/>
                <w:right w:val="single" w:sz="2" w:space="0" w:color="E3E3E3"/>
              </w:divBdr>
              <w:divsChild>
                <w:div w:id="643774022">
                  <w:marLeft w:val="0"/>
                  <w:marRight w:val="0"/>
                  <w:marTop w:val="0"/>
                  <w:marBottom w:val="0"/>
                  <w:divBdr>
                    <w:top w:val="single" w:sz="2" w:space="2" w:color="E3E3E3"/>
                    <w:left w:val="single" w:sz="2" w:space="0" w:color="E3E3E3"/>
                    <w:bottom w:val="single" w:sz="2" w:space="0" w:color="E3E3E3"/>
                    <w:right w:val="single" w:sz="2" w:space="0" w:color="E3E3E3"/>
                  </w:divBdr>
                  <w:divsChild>
                    <w:div w:id="12026661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4907390">
      <w:bodyDiv w:val="1"/>
      <w:marLeft w:val="0"/>
      <w:marRight w:val="0"/>
      <w:marTop w:val="0"/>
      <w:marBottom w:val="0"/>
      <w:divBdr>
        <w:top w:val="none" w:sz="0" w:space="0" w:color="auto"/>
        <w:left w:val="none" w:sz="0" w:space="0" w:color="auto"/>
        <w:bottom w:val="none" w:sz="0" w:space="0" w:color="auto"/>
        <w:right w:val="none" w:sz="0" w:space="0" w:color="auto"/>
      </w:divBdr>
    </w:div>
    <w:div w:id="1173380716">
      <w:bodyDiv w:val="1"/>
      <w:marLeft w:val="0"/>
      <w:marRight w:val="0"/>
      <w:marTop w:val="0"/>
      <w:marBottom w:val="0"/>
      <w:divBdr>
        <w:top w:val="none" w:sz="0" w:space="0" w:color="auto"/>
        <w:left w:val="none" w:sz="0" w:space="0" w:color="auto"/>
        <w:bottom w:val="none" w:sz="0" w:space="0" w:color="auto"/>
        <w:right w:val="none" w:sz="0" w:space="0" w:color="auto"/>
      </w:divBdr>
    </w:div>
    <w:div w:id="1234270843">
      <w:bodyDiv w:val="1"/>
      <w:marLeft w:val="0"/>
      <w:marRight w:val="0"/>
      <w:marTop w:val="0"/>
      <w:marBottom w:val="0"/>
      <w:divBdr>
        <w:top w:val="none" w:sz="0" w:space="0" w:color="auto"/>
        <w:left w:val="none" w:sz="0" w:space="0" w:color="auto"/>
        <w:bottom w:val="none" w:sz="0" w:space="0" w:color="auto"/>
        <w:right w:val="none" w:sz="0" w:space="0" w:color="auto"/>
      </w:divBdr>
    </w:div>
    <w:div w:id="1242330911">
      <w:bodyDiv w:val="1"/>
      <w:marLeft w:val="0"/>
      <w:marRight w:val="0"/>
      <w:marTop w:val="0"/>
      <w:marBottom w:val="0"/>
      <w:divBdr>
        <w:top w:val="none" w:sz="0" w:space="0" w:color="auto"/>
        <w:left w:val="none" w:sz="0" w:space="0" w:color="auto"/>
        <w:bottom w:val="none" w:sz="0" w:space="0" w:color="auto"/>
        <w:right w:val="none" w:sz="0" w:space="0" w:color="auto"/>
      </w:divBdr>
    </w:div>
    <w:div w:id="1348749256">
      <w:bodyDiv w:val="1"/>
      <w:marLeft w:val="0"/>
      <w:marRight w:val="0"/>
      <w:marTop w:val="0"/>
      <w:marBottom w:val="0"/>
      <w:divBdr>
        <w:top w:val="none" w:sz="0" w:space="0" w:color="auto"/>
        <w:left w:val="none" w:sz="0" w:space="0" w:color="auto"/>
        <w:bottom w:val="none" w:sz="0" w:space="0" w:color="auto"/>
        <w:right w:val="none" w:sz="0" w:space="0" w:color="auto"/>
      </w:divBdr>
    </w:div>
    <w:div w:id="1392191515">
      <w:bodyDiv w:val="1"/>
      <w:marLeft w:val="0"/>
      <w:marRight w:val="0"/>
      <w:marTop w:val="0"/>
      <w:marBottom w:val="0"/>
      <w:divBdr>
        <w:top w:val="none" w:sz="0" w:space="0" w:color="auto"/>
        <w:left w:val="none" w:sz="0" w:space="0" w:color="auto"/>
        <w:bottom w:val="none" w:sz="0" w:space="0" w:color="auto"/>
        <w:right w:val="none" w:sz="0" w:space="0" w:color="auto"/>
      </w:divBdr>
      <w:divsChild>
        <w:div w:id="1628504740">
          <w:marLeft w:val="374"/>
          <w:marRight w:val="0"/>
          <w:marTop w:val="141"/>
          <w:marBottom w:val="0"/>
          <w:divBdr>
            <w:top w:val="none" w:sz="0" w:space="0" w:color="auto"/>
            <w:left w:val="none" w:sz="0" w:space="0" w:color="auto"/>
            <w:bottom w:val="none" w:sz="0" w:space="0" w:color="auto"/>
            <w:right w:val="none" w:sz="0" w:space="0" w:color="auto"/>
          </w:divBdr>
        </w:div>
      </w:divsChild>
    </w:div>
    <w:div w:id="1399942001">
      <w:bodyDiv w:val="1"/>
      <w:marLeft w:val="0"/>
      <w:marRight w:val="0"/>
      <w:marTop w:val="0"/>
      <w:marBottom w:val="0"/>
      <w:divBdr>
        <w:top w:val="none" w:sz="0" w:space="0" w:color="auto"/>
        <w:left w:val="none" w:sz="0" w:space="0" w:color="auto"/>
        <w:bottom w:val="none" w:sz="0" w:space="0" w:color="auto"/>
        <w:right w:val="none" w:sz="0" w:space="0" w:color="auto"/>
      </w:divBdr>
    </w:div>
    <w:div w:id="1422068471">
      <w:bodyDiv w:val="1"/>
      <w:marLeft w:val="0"/>
      <w:marRight w:val="0"/>
      <w:marTop w:val="0"/>
      <w:marBottom w:val="0"/>
      <w:divBdr>
        <w:top w:val="none" w:sz="0" w:space="0" w:color="auto"/>
        <w:left w:val="none" w:sz="0" w:space="0" w:color="auto"/>
        <w:bottom w:val="none" w:sz="0" w:space="0" w:color="auto"/>
        <w:right w:val="none" w:sz="0" w:space="0" w:color="auto"/>
      </w:divBdr>
    </w:div>
    <w:div w:id="1431583041">
      <w:bodyDiv w:val="1"/>
      <w:marLeft w:val="0"/>
      <w:marRight w:val="0"/>
      <w:marTop w:val="0"/>
      <w:marBottom w:val="0"/>
      <w:divBdr>
        <w:top w:val="none" w:sz="0" w:space="0" w:color="auto"/>
        <w:left w:val="none" w:sz="0" w:space="0" w:color="auto"/>
        <w:bottom w:val="none" w:sz="0" w:space="0" w:color="auto"/>
        <w:right w:val="none" w:sz="0" w:space="0" w:color="auto"/>
      </w:divBdr>
      <w:divsChild>
        <w:div w:id="1549297710">
          <w:marLeft w:val="0"/>
          <w:marRight w:val="0"/>
          <w:marTop w:val="0"/>
          <w:marBottom w:val="0"/>
          <w:divBdr>
            <w:top w:val="single" w:sz="2" w:space="0" w:color="E3E3E3"/>
            <w:left w:val="single" w:sz="2" w:space="0" w:color="E3E3E3"/>
            <w:bottom w:val="single" w:sz="2" w:space="0" w:color="E3E3E3"/>
            <w:right w:val="single" w:sz="2" w:space="0" w:color="E3E3E3"/>
          </w:divBdr>
          <w:divsChild>
            <w:div w:id="2096053845">
              <w:marLeft w:val="0"/>
              <w:marRight w:val="0"/>
              <w:marTop w:val="100"/>
              <w:marBottom w:val="100"/>
              <w:divBdr>
                <w:top w:val="single" w:sz="2" w:space="0" w:color="E3E3E3"/>
                <w:left w:val="single" w:sz="2" w:space="0" w:color="E3E3E3"/>
                <w:bottom w:val="single" w:sz="2" w:space="0" w:color="E3E3E3"/>
                <w:right w:val="single" w:sz="2" w:space="0" w:color="E3E3E3"/>
              </w:divBdr>
              <w:divsChild>
                <w:div w:id="2144620022">
                  <w:marLeft w:val="0"/>
                  <w:marRight w:val="0"/>
                  <w:marTop w:val="0"/>
                  <w:marBottom w:val="0"/>
                  <w:divBdr>
                    <w:top w:val="single" w:sz="2" w:space="0" w:color="E3E3E3"/>
                    <w:left w:val="single" w:sz="2" w:space="0" w:color="E3E3E3"/>
                    <w:bottom w:val="single" w:sz="2" w:space="0" w:color="E3E3E3"/>
                    <w:right w:val="single" w:sz="2" w:space="0" w:color="E3E3E3"/>
                  </w:divBdr>
                  <w:divsChild>
                    <w:div w:id="270742251">
                      <w:marLeft w:val="0"/>
                      <w:marRight w:val="0"/>
                      <w:marTop w:val="0"/>
                      <w:marBottom w:val="0"/>
                      <w:divBdr>
                        <w:top w:val="single" w:sz="2" w:space="0" w:color="E3E3E3"/>
                        <w:left w:val="single" w:sz="2" w:space="0" w:color="E3E3E3"/>
                        <w:bottom w:val="single" w:sz="2" w:space="0" w:color="E3E3E3"/>
                        <w:right w:val="single" w:sz="2" w:space="0" w:color="E3E3E3"/>
                      </w:divBdr>
                      <w:divsChild>
                        <w:div w:id="1237089653">
                          <w:marLeft w:val="0"/>
                          <w:marRight w:val="0"/>
                          <w:marTop w:val="0"/>
                          <w:marBottom w:val="0"/>
                          <w:divBdr>
                            <w:top w:val="single" w:sz="2" w:space="0" w:color="E3E3E3"/>
                            <w:left w:val="single" w:sz="2" w:space="0" w:color="E3E3E3"/>
                            <w:bottom w:val="single" w:sz="2" w:space="0" w:color="E3E3E3"/>
                            <w:right w:val="single" w:sz="2" w:space="0" w:color="E3E3E3"/>
                          </w:divBdr>
                          <w:divsChild>
                            <w:div w:id="1707833478">
                              <w:marLeft w:val="0"/>
                              <w:marRight w:val="0"/>
                              <w:marTop w:val="0"/>
                              <w:marBottom w:val="0"/>
                              <w:divBdr>
                                <w:top w:val="single" w:sz="2" w:space="0" w:color="E3E3E3"/>
                                <w:left w:val="single" w:sz="2" w:space="0" w:color="E3E3E3"/>
                                <w:bottom w:val="single" w:sz="2" w:space="0" w:color="E3E3E3"/>
                                <w:right w:val="single" w:sz="2" w:space="0" w:color="E3E3E3"/>
                              </w:divBdr>
                              <w:divsChild>
                                <w:div w:id="1452439730">
                                  <w:marLeft w:val="0"/>
                                  <w:marRight w:val="0"/>
                                  <w:marTop w:val="0"/>
                                  <w:marBottom w:val="0"/>
                                  <w:divBdr>
                                    <w:top w:val="single" w:sz="2" w:space="0" w:color="E3E3E3"/>
                                    <w:left w:val="single" w:sz="2" w:space="0" w:color="E3E3E3"/>
                                    <w:bottom w:val="single" w:sz="2" w:space="0" w:color="E3E3E3"/>
                                    <w:right w:val="single" w:sz="2" w:space="0" w:color="E3E3E3"/>
                                  </w:divBdr>
                                  <w:divsChild>
                                    <w:div w:id="126834258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529903189">
      <w:bodyDiv w:val="1"/>
      <w:marLeft w:val="0"/>
      <w:marRight w:val="0"/>
      <w:marTop w:val="0"/>
      <w:marBottom w:val="0"/>
      <w:divBdr>
        <w:top w:val="none" w:sz="0" w:space="0" w:color="auto"/>
        <w:left w:val="none" w:sz="0" w:space="0" w:color="auto"/>
        <w:bottom w:val="none" w:sz="0" w:space="0" w:color="auto"/>
        <w:right w:val="none" w:sz="0" w:space="0" w:color="auto"/>
      </w:divBdr>
    </w:div>
    <w:div w:id="1678147372">
      <w:bodyDiv w:val="1"/>
      <w:marLeft w:val="0"/>
      <w:marRight w:val="0"/>
      <w:marTop w:val="0"/>
      <w:marBottom w:val="0"/>
      <w:divBdr>
        <w:top w:val="none" w:sz="0" w:space="0" w:color="auto"/>
        <w:left w:val="none" w:sz="0" w:space="0" w:color="auto"/>
        <w:bottom w:val="none" w:sz="0" w:space="0" w:color="auto"/>
        <w:right w:val="none" w:sz="0" w:space="0" w:color="auto"/>
      </w:divBdr>
    </w:div>
    <w:div w:id="1698772603">
      <w:bodyDiv w:val="1"/>
      <w:marLeft w:val="0"/>
      <w:marRight w:val="0"/>
      <w:marTop w:val="0"/>
      <w:marBottom w:val="0"/>
      <w:divBdr>
        <w:top w:val="none" w:sz="0" w:space="0" w:color="auto"/>
        <w:left w:val="none" w:sz="0" w:space="0" w:color="auto"/>
        <w:bottom w:val="none" w:sz="0" w:space="0" w:color="auto"/>
        <w:right w:val="none" w:sz="0" w:space="0" w:color="auto"/>
      </w:divBdr>
    </w:div>
    <w:div w:id="1731152998">
      <w:bodyDiv w:val="1"/>
      <w:marLeft w:val="0"/>
      <w:marRight w:val="0"/>
      <w:marTop w:val="0"/>
      <w:marBottom w:val="0"/>
      <w:divBdr>
        <w:top w:val="none" w:sz="0" w:space="0" w:color="auto"/>
        <w:left w:val="none" w:sz="0" w:space="0" w:color="auto"/>
        <w:bottom w:val="none" w:sz="0" w:space="0" w:color="auto"/>
        <w:right w:val="none" w:sz="0" w:space="0" w:color="auto"/>
      </w:divBdr>
      <w:divsChild>
        <w:div w:id="1224099840">
          <w:marLeft w:val="0"/>
          <w:marRight w:val="0"/>
          <w:marTop w:val="0"/>
          <w:marBottom w:val="0"/>
          <w:divBdr>
            <w:top w:val="none" w:sz="0" w:space="0" w:color="auto"/>
            <w:left w:val="none" w:sz="0" w:space="0" w:color="auto"/>
            <w:bottom w:val="none" w:sz="0" w:space="0" w:color="auto"/>
            <w:right w:val="none" w:sz="0" w:space="0" w:color="auto"/>
          </w:divBdr>
        </w:div>
        <w:div w:id="1247156934">
          <w:marLeft w:val="0"/>
          <w:marRight w:val="0"/>
          <w:marTop w:val="0"/>
          <w:marBottom w:val="0"/>
          <w:divBdr>
            <w:top w:val="none" w:sz="0" w:space="0" w:color="auto"/>
            <w:left w:val="none" w:sz="0" w:space="0" w:color="auto"/>
            <w:bottom w:val="none" w:sz="0" w:space="0" w:color="auto"/>
            <w:right w:val="none" w:sz="0" w:space="0" w:color="auto"/>
          </w:divBdr>
        </w:div>
        <w:div w:id="554119338">
          <w:marLeft w:val="0"/>
          <w:marRight w:val="0"/>
          <w:marTop w:val="0"/>
          <w:marBottom w:val="0"/>
          <w:divBdr>
            <w:top w:val="none" w:sz="0" w:space="0" w:color="auto"/>
            <w:left w:val="none" w:sz="0" w:space="0" w:color="auto"/>
            <w:bottom w:val="none" w:sz="0" w:space="0" w:color="auto"/>
            <w:right w:val="none" w:sz="0" w:space="0" w:color="auto"/>
          </w:divBdr>
        </w:div>
        <w:div w:id="79450134">
          <w:marLeft w:val="0"/>
          <w:marRight w:val="0"/>
          <w:marTop w:val="0"/>
          <w:marBottom w:val="0"/>
          <w:divBdr>
            <w:top w:val="none" w:sz="0" w:space="0" w:color="auto"/>
            <w:left w:val="none" w:sz="0" w:space="0" w:color="auto"/>
            <w:bottom w:val="none" w:sz="0" w:space="0" w:color="auto"/>
            <w:right w:val="none" w:sz="0" w:space="0" w:color="auto"/>
          </w:divBdr>
        </w:div>
        <w:div w:id="74134233">
          <w:marLeft w:val="0"/>
          <w:marRight w:val="0"/>
          <w:marTop w:val="0"/>
          <w:marBottom w:val="0"/>
          <w:divBdr>
            <w:top w:val="none" w:sz="0" w:space="0" w:color="auto"/>
            <w:left w:val="none" w:sz="0" w:space="0" w:color="auto"/>
            <w:bottom w:val="none" w:sz="0" w:space="0" w:color="auto"/>
            <w:right w:val="none" w:sz="0" w:space="0" w:color="auto"/>
          </w:divBdr>
        </w:div>
        <w:div w:id="1380125248">
          <w:marLeft w:val="0"/>
          <w:marRight w:val="0"/>
          <w:marTop w:val="0"/>
          <w:marBottom w:val="0"/>
          <w:divBdr>
            <w:top w:val="none" w:sz="0" w:space="0" w:color="auto"/>
            <w:left w:val="none" w:sz="0" w:space="0" w:color="auto"/>
            <w:bottom w:val="none" w:sz="0" w:space="0" w:color="auto"/>
            <w:right w:val="none" w:sz="0" w:space="0" w:color="auto"/>
          </w:divBdr>
        </w:div>
        <w:div w:id="1105076991">
          <w:marLeft w:val="0"/>
          <w:marRight w:val="0"/>
          <w:marTop w:val="0"/>
          <w:marBottom w:val="0"/>
          <w:divBdr>
            <w:top w:val="none" w:sz="0" w:space="0" w:color="auto"/>
            <w:left w:val="none" w:sz="0" w:space="0" w:color="auto"/>
            <w:bottom w:val="none" w:sz="0" w:space="0" w:color="auto"/>
            <w:right w:val="none" w:sz="0" w:space="0" w:color="auto"/>
          </w:divBdr>
        </w:div>
        <w:div w:id="724379519">
          <w:marLeft w:val="0"/>
          <w:marRight w:val="0"/>
          <w:marTop w:val="0"/>
          <w:marBottom w:val="0"/>
          <w:divBdr>
            <w:top w:val="none" w:sz="0" w:space="0" w:color="auto"/>
            <w:left w:val="none" w:sz="0" w:space="0" w:color="auto"/>
            <w:bottom w:val="none" w:sz="0" w:space="0" w:color="auto"/>
            <w:right w:val="none" w:sz="0" w:space="0" w:color="auto"/>
          </w:divBdr>
        </w:div>
        <w:div w:id="973413042">
          <w:marLeft w:val="0"/>
          <w:marRight w:val="0"/>
          <w:marTop w:val="0"/>
          <w:marBottom w:val="0"/>
          <w:divBdr>
            <w:top w:val="none" w:sz="0" w:space="0" w:color="auto"/>
            <w:left w:val="none" w:sz="0" w:space="0" w:color="auto"/>
            <w:bottom w:val="none" w:sz="0" w:space="0" w:color="auto"/>
            <w:right w:val="none" w:sz="0" w:space="0" w:color="auto"/>
          </w:divBdr>
        </w:div>
        <w:div w:id="639964601">
          <w:marLeft w:val="0"/>
          <w:marRight w:val="0"/>
          <w:marTop w:val="0"/>
          <w:marBottom w:val="0"/>
          <w:divBdr>
            <w:top w:val="none" w:sz="0" w:space="0" w:color="auto"/>
            <w:left w:val="none" w:sz="0" w:space="0" w:color="auto"/>
            <w:bottom w:val="none" w:sz="0" w:space="0" w:color="auto"/>
            <w:right w:val="none" w:sz="0" w:space="0" w:color="auto"/>
          </w:divBdr>
        </w:div>
        <w:div w:id="1793016590">
          <w:marLeft w:val="0"/>
          <w:marRight w:val="0"/>
          <w:marTop w:val="0"/>
          <w:marBottom w:val="0"/>
          <w:divBdr>
            <w:top w:val="none" w:sz="0" w:space="0" w:color="auto"/>
            <w:left w:val="none" w:sz="0" w:space="0" w:color="auto"/>
            <w:bottom w:val="none" w:sz="0" w:space="0" w:color="auto"/>
            <w:right w:val="none" w:sz="0" w:space="0" w:color="auto"/>
          </w:divBdr>
        </w:div>
        <w:div w:id="511995839">
          <w:marLeft w:val="0"/>
          <w:marRight w:val="0"/>
          <w:marTop w:val="0"/>
          <w:marBottom w:val="0"/>
          <w:divBdr>
            <w:top w:val="none" w:sz="0" w:space="0" w:color="auto"/>
            <w:left w:val="none" w:sz="0" w:space="0" w:color="auto"/>
            <w:bottom w:val="none" w:sz="0" w:space="0" w:color="auto"/>
            <w:right w:val="none" w:sz="0" w:space="0" w:color="auto"/>
          </w:divBdr>
        </w:div>
        <w:div w:id="197818368">
          <w:marLeft w:val="0"/>
          <w:marRight w:val="0"/>
          <w:marTop w:val="0"/>
          <w:marBottom w:val="0"/>
          <w:divBdr>
            <w:top w:val="none" w:sz="0" w:space="0" w:color="auto"/>
            <w:left w:val="none" w:sz="0" w:space="0" w:color="auto"/>
            <w:bottom w:val="none" w:sz="0" w:space="0" w:color="auto"/>
            <w:right w:val="none" w:sz="0" w:space="0" w:color="auto"/>
          </w:divBdr>
        </w:div>
        <w:div w:id="1099643307">
          <w:marLeft w:val="0"/>
          <w:marRight w:val="0"/>
          <w:marTop w:val="0"/>
          <w:marBottom w:val="0"/>
          <w:divBdr>
            <w:top w:val="none" w:sz="0" w:space="0" w:color="auto"/>
            <w:left w:val="none" w:sz="0" w:space="0" w:color="auto"/>
            <w:bottom w:val="none" w:sz="0" w:space="0" w:color="auto"/>
            <w:right w:val="none" w:sz="0" w:space="0" w:color="auto"/>
          </w:divBdr>
        </w:div>
      </w:divsChild>
    </w:div>
    <w:div w:id="1767925091">
      <w:bodyDiv w:val="1"/>
      <w:marLeft w:val="0"/>
      <w:marRight w:val="0"/>
      <w:marTop w:val="0"/>
      <w:marBottom w:val="0"/>
      <w:divBdr>
        <w:top w:val="none" w:sz="0" w:space="0" w:color="auto"/>
        <w:left w:val="none" w:sz="0" w:space="0" w:color="auto"/>
        <w:bottom w:val="none" w:sz="0" w:space="0" w:color="auto"/>
        <w:right w:val="none" w:sz="0" w:space="0" w:color="auto"/>
      </w:divBdr>
    </w:div>
    <w:div w:id="1785417093">
      <w:bodyDiv w:val="1"/>
      <w:marLeft w:val="0"/>
      <w:marRight w:val="0"/>
      <w:marTop w:val="0"/>
      <w:marBottom w:val="0"/>
      <w:divBdr>
        <w:top w:val="none" w:sz="0" w:space="0" w:color="auto"/>
        <w:left w:val="none" w:sz="0" w:space="0" w:color="auto"/>
        <w:bottom w:val="none" w:sz="0" w:space="0" w:color="auto"/>
        <w:right w:val="none" w:sz="0" w:space="0" w:color="auto"/>
      </w:divBdr>
    </w:div>
    <w:div w:id="1791430536">
      <w:bodyDiv w:val="1"/>
      <w:marLeft w:val="0"/>
      <w:marRight w:val="0"/>
      <w:marTop w:val="0"/>
      <w:marBottom w:val="0"/>
      <w:divBdr>
        <w:top w:val="none" w:sz="0" w:space="0" w:color="auto"/>
        <w:left w:val="none" w:sz="0" w:space="0" w:color="auto"/>
        <w:bottom w:val="none" w:sz="0" w:space="0" w:color="auto"/>
        <w:right w:val="none" w:sz="0" w:space="0" w:color="auto"/>
      </w:divBdr>
    </w:div>
    <w:div w:id="1888832277">
      <w:bodyDiv w:val="1"/>
      <w:marLeft w:val="0"/>
      <w:marRight w:val="0"/>
      <w:marTop w:val="0"/>
      <w:marBottom w:val="0"/>
      <w:divBdr>
        <w:top w:val="none" w:sz="0" w:space="0" w:color="auto"/>
        <w:left w:val="none" w:sz="0" w:space="0" w:color="auto"/>
        <w:bottom w:val="none" w:sz="0" w:space="0" w:color="auto"/>
        <w:right w:val="none" w:sz="0" w:space="0" w:color="auto"/>
      </w:divBdr>
    </w:div>
    <w:div w:id="1903906780">
      <w:bodyDiv w:val="1"/>
      <w:marLeft w:val="0"/>
      <w:marRight w:val="0"/>
      <w:marTop w:val="0"/>
      <w:marBottom w:val="0"/>
      <w:divBdr>
        <w:top w:val="none" w:sz="0" w:space="0" w:color="auto"/>
        <w:left w:val="none" w:sz="0" w:space="0" w:color="auto"/>
        <w:bottom w:val="none" w:sz="0" w:space="0" w:color="auto"/>
        <w:right w:val="none" w:sz="0" w:space="0" w:color="auto"/>
      </w:divBdr>
    </w:div>
    <w:div w:id="1931158747">
      <w:bodyDiv w:val="1"/>
      <w:marLeft w:val="0"/>
      <w:marRight w:val="0"/>
      <w:marTop w:val="0"/>
      <w:marBottom w:val="0"/>
      <w:divBdr>
        <w:top w:val="none" w:sz="0" w:space="0" w:color="auto"/>
        <w:left w:val="none" w:sz="0" w:space="0" w:color="auto"/>
        <w:bottom w:val="none" w:sz="0" w:space="0" w:color="auto"/>
        <w:right w:val="none" w:sz="0" w:space="0" w:color="auto"/>
      </w:divBdr>
    </w:div>
    <w:div w:id="1996950513">
      <w:bodyDiv w:val="1"/>
      <w:marLeft w:val="0"/>
      <w:marRight w:val="0"/>
      <w:marTop w:val="0"/>
      <w:marBottom w:val="0"/>
      <w:divBdr>
        <w:top w:val="none" w:sz="0" w:space="0" w:color="auto"/>
        <w:left w:val="none" w:sz="0" w:space="0" w:color="auto"/>
        <w:bottom w:val="none" w:sz="0" w:space="0" w:color="auto"/>
        <w:right w:val="none" w:sz="0" w:space="0" w:color="auto"/>
      </w:divBdr>
    </w:div>
    <w:div w:id="2025087019">
      <w:bodyDiv w:val="1"/>
      <w:marLeft w:val="0"/>
      <w:marRight w:val="0"/>
      <w:marTop w:val="0"/>
      <w:marBottom w:val="0"/>
      <w:divBdr>
        <w:top w:val="none" w:sz="0" w:space="0" w:color="auto"/>
        <w:left w:val="none" w:sz="0" w:space="0" w:color="auto"/>
        <w:bottom w:val="none" w:sz="0" w:space="0" w:color="auto"/>
        <w:right w:val="none" w:sz="0" w:space="0" w:color="auto"/>
      </w:divBdr>
      <w:divsChild>
        <w:div w:id="671421268">
          <w:marLeft w:val="274"/>
          <w:marRight w:val="0"/>
          <w:marTop w:val="141"/>
          <w:marBottom w:val="0"/>
          <w:divBdr>
            <w:top w:val="none" w:sz="0" w:space="0" w:color="auto"/>
            <w:left w:val="none" w:sz="0" w:space="0" w:color="auto"/>
            <w:bottom w:val="none" w:sz="0" w:space="0" w:color="auto"/>
            <w:right w:val="none" w:sz="0" w:space="0" w:color="auto"/>
          </w:divBdr>
        </w:div>
      </w:divsChild>
    </w:div>
    <w:div w:id="2035766668">
      <w:bodyDiv w:val="1"/>
      <w:marLeft w:val="0"/>
      <w:marRight w:val="0"/>
      <w:marTop w:val="0"/>
      <w:marBottom w:val="0"/>
      <w:divBdr>
        <w:top w:val="none" w:sz="0" w:space="0" w:color="auto"/>
        <w:left w:val="none" w:sz="0" w:space="0" w:color="auto"/>
        <w:bottom w:val="none" w:sz="0" w:space="0" w:color="auto"/>
        <w:right w:val="none" w:sz="0" w:space="0" w:color="auto"/>
      </w:divBdr>
    </w:div>
    <w:div w:id="2088652601">
      <w:bodyDiv w:val="1"/>
      <w:marLeft w:val="0"/>
      <w:marRight w:val="0"/>
      <w:marTop w:val="0"/>
      <w:marBottom w:val="0"/>
      <w:divBdr>
        <w:top w:val="none" w:sz="0" w:space="0" w:color="auto"/>
        <w:left w:val="none" w:sz="0" w:space="0" w:color="auto"/>
        <w:bottom w:val="none" w:sz="0" w:space="0" w:color="auto"/>
        <w:right w:val="none" w:sz="0" w:space="0" w:color="auto"/>
      </w:divBdr>
    </w:div>
    <w:div w:id="210457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robert.stankiewicz@gpw.pl"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gpw.pl" TargetMode="Externa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9263484a-4811-448b-b935-4ccfcdbbdeea" origin="userSelected">
  <element uid="697367d0-0d11-4d4e-80a2-256155fcabe6" value=""/>
  <element uid="d9569de3-fae5-4e2d-a5c1-e0a5a3c84173" value=""/>
</sisl>
</file>

<file path=customXml/itemProps1.xml><?xml version="1.0" encoding="utf-8"?>
<ds:datastoreItem xmlns:ds="http://schemas.openxmlformats.org/officeDocument/2006/customXml" ds:itemID="{5ECD2DA9-3DB3-450F-BED7-7F926F8C0168}">
  <ds:schemaRefs>
    <ds:schemaRef ds:uri="http://schemas.openxmlformats.org/officeDocument/2006/bibliography"/>
  </ds:schemaRefs>
</ds:datastoreItem>
</file>

<file path=customXml/itemProps2.xml><?xml version="1.0" encoding="utf-8"?>
<ds:datastoreItem xmlns:ds="http://schemas.openxmlformats.org/officeDocument/2006/customXml" ds:itemID="{2CE27D5B-55C6-4512-8007-3D770ECA5F6B}">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63828489-b6e0-442e-bd0b-e115b427d056}" enabled="1" method="Privileged" siteId="{a340375a-1ea0-4cdd-8a49-9cd1039ff159}" contentBits="0"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3</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Stankiewicz Robert</dc:creator>
  <cp:keywords>#Kategoria: [Wewnętrzne/Nie zawiera danych osobowych]# </cp:keywords>
  <dc:description/>
  <cp:lastModifiedBy>Marcin Lakomski</cp:lastModifiedBy>
  <cp:revision>25</cp:revision>
  <cp:lastPrinted>2025-11-04T14:32:00Z</cp:lastPrinted>
  <dcterms:created xsi:type="dcterms:W3CDTF">2026-05-25T17:11:00Z</dcterms:created>
  <dcterms:modified xsi:type="dcterms:W3CDTF">2026-05-25T17:33:00Z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5bcdc1ed-4e47-4771-b480-fdba96a2d3f7</vt:lpwstr>
  </property>
  <property fmtid="{D5CDD505-2E9C-101B-9397-08002B2CF9AE}" pid="3" name="bjSaver">
    <vt:lpwstr>EP3QaiaTrDrOJqg3Tz6pBwL+Dt8eJ+oK</vt:lpwstr>
  </property>
  <property fmtid="{D5CDD505-2E9C-101B-9397-08002B2CF9AE}" pid="4" name="bjDocumentLabelXML">
    <vt:lpwstr>&lt;?xml version="1.0" encoding="us-ascii"?&gt;&lt;sisl xmlns:xsd="http://www.w3.org/2001/XMLSchema" xmlns:xsi="http://www.w3.org/2001/XMLSchema-instance" sislVersion="0" policy="9263484a-4811-448b-b935-4ccfcdbbdeea" origin="userSelected" xmlns="http://www.boldonj</vt:lpwstr>
  </property>
  <property fmtid="{D5CDD505-2E9C-101B-9397-08002B2CF9AE}" pid="5" name="bjDocumentLabelXML-0">
    <vt:lpwstr>ames.com/2008/01/sie/internal/label"&gt;&lt;element uid="697367d0-0d11-4d4e-80a2-256155fcabe6" value="" /&gt;&lt;element uid="d9569de3-fae5-4e2d-a5c1-e0a5a3c84173" value="" /&gt;&lt;/sisl&gt;</vt:lpwstr>
  </property>
  <property fmtid="{D5CDD505-2E9C-101B-9397-08002B2CF9AE}" pid="6" name="bjDocumentSecurityLabel">
    <vt:lpwstr>Kategoria: Wewnętrzne/Nie zawiera danych osobowych</vt:lpwstr>
  </property>
</Properties>
</file>